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Helvetica" w:hAnsi="Helvetica" w:cs="Helvetica"/>
          <w:sz w:val="42"/>
          <w:sz-cs w:val="42"/>
          <w:b/>
          <w:spacing w:val="0"/>
        </w:rPr>
        <w:t xml:space="preserve">Divinci AI — Investor Executive Summary (v0.3, 2 September 2026)</w:t>
      </w:r>
    </w:p>
    <w:p>
      <w:pPr/>
      <w:r>
        <w:rPr>
          <w:rFonts w:ascii="Helvetica" w:hAnsi="Helvetica" w:cs="Helvetica"/>
          <w:sz w:val="28"/>
          <w:sz-cs w:val="28"/>
          <w:spacing w:val="0"/>
          <w:color w:val="434343"/>
        </w:rPr>
        <w:t xml:space="preserve">Prepared for Bobby Edelman, The Brink SBDC @ USD. Every number traces to our audited plan documents (one-pager, strategy, expense workbook, fact base as of 2026-09-01) or to the founders' own figures supplied 2026-09-02.</w:t>
      </w:r>
    </w:p>
    <w:p>
      <w:pPr>
        <w:spacing w:after="280"/>
      </w:pPr>
      <w:r>
        <w:rPr>
          <w:rFonts w:ascii="Helvetica" w:hAnsi="Helvetica" w:cs="Helvetica"/>
          <w:sz w:val="28"/>
          <w:sz-cs w:val="28"/>
          <w:b/>
          <w:spacing w:val="0"/>
        </w:rPr>
        <w:t xml:space="preserve">Company:</w:t>
      </w:r>
      <w:r>
        <w:rPr>
          <w:rFonts w:ascii="Helvetica" w:hAnsi="Helvetica" w:cs="Helvetica"/>
          <w:sz w:val="28"/>
          <w:sz-cs w:val="28"/>
          <w:spacing w:val="0"/>
        </w:rPr>
        <w:t xml:space="preserve"> Divinci AI Inc. (Delaware C-corp, file no. 2970809) · </w:t>
      </w:r>
      <w:r>
        <w:rPr>
          <w:rFonts w:ascii="Helvetica" w:hAnsi="Helvetica" w:cs="Helvetica"/>
          <w:sz w:val="28"/>
          <w:sz-cs w:val="28"/>
          <w:b/>
          <w:spacing w:val="0"/>
        </w:rPr>
        <w:t xml:space="preserve">Founded:</w:t>
      </w:r>
      <w:r>
        <w:rPr>
          <w:rFonts w:ascii="Helvetica" w:hAnsi="Helvetica" w:cs="Helvetica"/>
          <w:sz w:val="28"/>
          <w:sz-cs w:val="28"/>
          <w:spacing w:val="0"/>
        </w:rPr>
        <w:t xml:space="preserve"> 22 January 2024 (platform development since mid-2023) · </w:t>
      </w:r>
      <w:r>
        <w:rPr>
          <w:rFonts w:ascii="Helvetica" w:hAnsi="Helvetica" w:cs="Helvetica"/>
          <w:sz w:val="28"/>
          <w:sz-cs w:val="28"/>
          <w:b/>
          <w:spacing w:val="0"/>
        </w:rPr>
        <w:t xml:space="preserve">HQ:</w:t>
      </w:r>
      <w:r>
        <w:rPr>
          <w:rFonts w:ascii="Helvetica" w:hAnsi="Helvetica" w:cs="Helvetica"/>
          <w:sz w:val="28"/>
          <w:sz-cs w:val="28"/>
          <w:spacing w:val="0"/>
        </w:rPr>
        <w:t xml:space="preserve"> Irvine, California · </w:t>
      </w:r>
      <w:r>
        <w:rPr>
          <w:rFonts w:ascii="Helvetica" w:hAnsi="Helvetica" w:cs="Helvetica"/>
          <w:sz w:val="28"/>
          <w:sz-cs w:val="28"/>
          <w:b/>
          <w:spacing w:val="0"/>
        </w:rPr>
        <w:t xml:space="preserve">Web:</w:t>
      </w:r>
      <w:r>
        <w:rPr>
          <w:rFonts w:ascii="Helvetica" w:hAnsi="Helvetica" w:cs="Helvetica"/>
          <w:sz w:val="28"/>
          <w:sz-cs w:val="28"/>
          <w:spacing w:val="0"/>
        </w:rPr>
        <w:t xml:space="preserve"> divinci.ai</w:t>
      </w:r>
    </w:p>
    <w:p>
      <w:pPr>
        <w:spacing w:after="280"/>
      </w:pPr>
      <w:r>
        <w:rPr>
          <w:rFonts w:ascii="Helvetica" w:hAnsi="Helvetica" w:cs="Helvetica"/>
          <w:sz w:val="28"/>
          <w:sz-cs w:val="28"/>
          <w:b/>
          <w:spacing w:val="0"/>
        </w:rPr>
        <w:t xml:space="preserve">Mission:</w:t>
      </w:r>
      <w:r>
        <w:rPr>
          <w:rFonts w:ascii="Helvetica" w:hAnsi="Helvetica" w:cs="Helvetica"/>
          <w:sz w:val="28"/>
          <w:sz-cs w:val="28"/>
          <w:spacing w:val="0"/>
        </w:rPr>
        <w:t xml:space="preserve"> Custom AIs a business can prove — built, continuously evolved, and independently verifiable on the Divinci platform.</w:t>
      </w:r>
    </w:p>
    <w:p>
      <w:pPr>
        <w:spacing w:after="280"/>
      </w:pPr>
      <w:r>
        <w:rPr>
          <w:rFonts w:ascii="Helvetica" w:hAnsi="Helvetica" w:cs="Helvetica"/>
          <w:sz w:val="28"/>
          <w:sz-cs w:val="28"/>
          <w:b/>
          <w:spacing w:val="0"/>
        </w:rPr>
        <w:t xml:space="preserve">What we offer:</w:t>
      </w:r>
      <w:r>
        <w:rPr>
          <w:rFonts w:ascii="Helvetica" w:hAnsi="Helvetica" w:cs="Helvetica"/>
          <w:sz w:val="28"/>
          <w:sz-cs w:val="28"/>
          <w:spacing w:val="0"/>
        </w:rPr>
        <w:t xml:space="preserve"> The Divinci platform builds and runs custom AI assistants for businesses (retrieval over their own content, voice, web embeds, SDK/CLI/MCP surfaces). Our compliance wedge, </w:t>
      </w:r>
      <w:r>
        <w:rPr>
          <w:rFonts w:ascii="Helvetica" w:hAnsi="Helvetica" w:cs="Helvetica"/>
          <w:sz w:val="28"/>
          <w:sz-cs w:val="28"/>
          <w:b/>
          <w:spacing w:val="0"/>
        </w:rPr>
        <w:t xml:space="preserve">Model Erasure with a receipt</w:t>
      </w:r>
      <w:r>
        <w:rPr>
          <w:rFonts w:ascii="Helvetica" w:hAnsi="Helvetica" w:cs="Helvetica"/>
          <w:sz w:val="28"/>
          <w:sz-cs w:val="28"/>
          <w:spacing w:val="0"/>
        </w:rPr>
        <w:t xml:space="preserve">, finds what an AI model has learned about a person, removes it, proves the rest of the model still performs, and hands the auditor a signed receipt they can verify without trusting us.</w:t>
      </w:r>
    </w:p>
    <w:p>
      <w:pPr>
        <w:spacing w:after="265"/>
      </w:pPr>
      <w:r>
        <w:rPr>
          <w:rFonts w:ascii="Helvetica" w:hAnsi="Helvetica" w:cs="Helvetica"/>
          <w:sz w:val="32"/>
          <w:sz-cs w:val="32"/>
          <w:b/>
          <w:spacing w:val="0"/>
        </w:rPr>
        <w:t xml:space="preserve">1. Problem</w:t>
      </w:r>
    </w:p>
    <w:p>
      <w:pPr>
        <w:spacing w:after="280"/>
      </w:pPr>
      <w:r>
        <w:rPr>
          <w:rFonts w:ascii="Helvetica" w:hAnsi="Helvetica" w:cs="Helvetica"/>
          <w:sz w:val="28"/>
          <w:sz-cs w:val="28"/>
          <w:spacing w:val="0"/>
        </w:rPr>
        <w:t xml:space="preserve">The EU AI Act's enforcement powers went live on </w:t>
      </w:r>
      <w:r>
        <w:rPr>
          <w:rFonts w:ascii="Helvetica" w:hAnsi="Helvetica" w:cs="Helvetica"/>
          <w:sz w:val="28"/>
          <w:sz-cs w:val="28"/>
          <w:b/>
          <w:spacing w:val="0"/>
        </w:rPr>
        <w:t xml:space="preserve">2 August 2026</w:t>
      </w:r>
      <w:r>
        <w:rPr>
          <w:rFonts w:ascii="Helvetica" w:hAnsi="Helvetica" w:cs="Helvetica"/>
          <w:sz w:val="28"/>
          <w:sz-cs w:val="28"/>
          <w:spacing w:val="0"/>
        </w:rPr>
        <w:t xml:space="preserve">. GDPR's right to erasure (GDPR Article 17) was already enforceable, with fines up to </w:t>
      </w:r>
      <w:r>
        <w:rPr>
          <w:rFonts w:ascii="Helvetica" w:hAnsi="Helvetica" w:cs="Helvetica"/>
          <w:sz w:val="28"/>
          <w:sz-cs w:val="28"/>
          <w:b/>
          <w:spacing w:val="0"/>
        </w:rPr>
        <w:t xml:space="preserve">€20M or 4% of global turnover</w:t>
      </w:r>
      <w:r>
        <w:rPr>
          <w:rFonts w:ascii="Helvetica" w:hAnsi="Helvetica" w:cs="Helvetica"/>
          <w:sz w:val="28"/>
          <w:sz-cs w:val="28"/>
          <w:spacing w:val="0"/>
        </w:rPr>
        <w:t xml:space="preserve">. A company can delete a database row, but a model (software that learned patterns from data) can still remember a person in its learned numerical memory. "We deleted the row" is no longer a complete answer. Regulators (EDPB, CNIL) currently treat </w:t>
      </w:r>
      <w:r>
        <w:rPr>
          <w:rFonts w:ascii="Helvetica" w:hAnsi="Helvetica" w:cs="Helvetica"/>
          <w:sz w:val="28"/>
          <w:sz-cs w:val="28"/>
          <w:b/>
          <w:spacing w:val="0"/>
        </w:rPr>
        <w:t xml:space="preserve">retraining</w:t>
      </w:r>
      <w:r>
        <w:rPr>
          <w:rFonts w:ascii="Helvetica" w:hAnsi="Helvetica" w:cs="Helvetica"/>
          <w:sz w:val="28"/>
          <w:sz-cs w:val="28"/>
          <w:spacing w:val="0"/>
        </w:rPr>
        <w:t xml:space="preserve"> as the defensible response — slow, expensive, and in practice rarely done. Most large enterprises running AI in Europe have no answer at all if a model-level erasure demand arrives. To our knowledge no regulator has yet ruled on whether </w:t>
      </w:r>
      <w:r>
        <w:rPr>
          <w:rFonts w:ascii="Helvetica" w:hAnsi="Helvetica" w:cs="Helvetica"/>
          <w:sz w:val="28"/>
          <w:sz-cs w:val="28"/>
          <w:i/>
          <w:spacing w:val="0"/>
        </w:rPr>
        <w:t xml:space="preserve">any</w:t>
      </w:r>
      <w:r>
        <w:rPr>
          <w:rFonts w:ascii="Helvetica" w:hAnsi="Helvetica" w:cs="Helvetica"/>
          <w:sz w:val="28"/>
          <w:sz-cs w:val="28"/>
          <w:spacing w:val="0"/>
        </w:rPr>
        <w:t xml:space="preserve"> unlearning method discharges GDPR Article 17; that question is open for everyone in this market.</w:t>
      </w:r>
    </w:p>
    <w:p>
      <w:pPr>
        <w:spacing w:after="265"/>
      </w:pPr>
      <w:r>
        <w:rPr>
          <w:rFonts w:ascii="Helvetica" w:hAnsi="Helvetica" w:cs="Helvetica"/>
          <w:sz w:val="32"/>
          <w:sz-cs w:val="32"/>
          <w:b/>
          <w:spacing w:val="0"/>
        </w:rPr>
        <w:t xml:space="preserve">2. Solution and benefits</w:t>
      </w:r>
    </w:p>
    <w:p>
      <w:pPr>
        <w:spacing w:after="280"/>
      </w:pPr>
      <w:r>
        <w:rPr>
          <w:rFonts w:ascii="Helvetica" w:hAnsi="Helvetica" w:cs="Helvetica"/>
          <w:sz w:val="28"/>
          <w:sz-cs w:val="28"/>
          <w:b/>
          <w:spacing w:val="0"/>
        </w:rPr>
        <w:t xml:space="preserve">Find. Remove. Prove.</w:t>
      </w:r>
      <w:r>
        <w:rPr>
          <w:rFonts w:ascii="Helvetica" w:hAnsi="Helvetica" w:cs="Helvetica"/>
          <w:sz w:val="28"/>
          <w:sz-cs w:val="28"/>
          <w:spacing w:val="0"/>
        </w:rPr>
        <w:t xml:space="preserve"> Identify what a model learned about an individual; remove it on open-weight models; re-measure the model's performance against pre-set thresholds; issue an signed receipt (Ed25519, a standard digital-signature method) served from a public endpoint and checked by an open-source verifier that has no dependency on Divinci.</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Discharge an erasure demand without a full retrain.</w:t>
      </w:r>
      <w:r>
        <w:rPr>
          <w:rFonts w:ascii="Helvetica" w:hAnsi="Helvetica" w:cs="Helvetica"/>
          <w:sz w:val="28"/>
          <w:sz-cs w:val="28"/>
          <w:spacing w:val="0"/>
        </w:rPr>
        <w:t xml:space="preserve"> Retraining a 70B model runs $0.5k–50k in compute for a non-trivial fine-tune, and $50k–500k as a full engagement (labor, data prep, engineering time, downtime).</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Evidence an auditor can check alone.</w:t>
      </w:r>
      <w:r>
        <w:rPr>
          <w:rFonts w:ascii="Helvetica" w:hAnsi="Helvetica" w:cs="Helvetica"/>
          <w:sz w:val="28"/>
          <w:sz-cs w:val="28"/>
          <w:spacing w:val="0"/>
        </w:rPr>
        <w:t xml:space="preserve"> The receipt is live in production today, not a proposed format.</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The proof step is the product.</w:t>
      </w:r>
      <w:r>
        <w:rPr>
          <w:rFonts w:ascii="Helvetica" w:hAnsi="Helvetica" w:cs="Helvetica"/>
          <w:sz w:val="28"/>
          <w:sz-cs w:val="28"/>
          <w:spacing w:val="0"/>
        </w:rPr>
        <w:t xml:space="preserve"> In our own August test the untouched control topics degraded </w:t>
      </w:r>
      <w:r>
        <w:rPr>
          <w:rFonts w:ascii="Helvetica" w:hAnsi="Helvetica" w:cs="Helvetica"/>
          <w:sz w:val="28"/>
          <w:sz-cs w:val="28"/>
          <w:i/>
          <w:spacing w:val="0"/>
        </w:rPr>
        <w:t xml:space="preserve">more</w:t>
      </w:r>
      <w:r>
        <w:rPr>
          <w:rFonts w:ascii="Helvetica" w:hAnsi="Helvetica" w:cs="Helvetica"/>
          <w:sz w:val="28"/>
          <w:sz-cs w:val="28"/>
          <w:spacing w:val="0"/>
        </w:rPr>
        <w:t xml:space="preserve"> than the erased topic (−0.058 vs −0.026). A vendor that cannot measure that ships the damage silently. Nobody else sells the measurement half.</w:t>
      </w:r>
    </w:p>
    <w:p>
      <w:pPr>
        <w:spacing w:after="265"/>
      </w:pPr>
      <w:r>
        <w:rPr>
          <w:rFonts w:ascii="Helvetica" w:hAnsi="Helvetica" w:cs="Helvetica"/>
          <w:sz w:val="32"/>
          <w:sz-cs w:val="32"/>
          <w:b/>
          <w:spacing w:val="0"/>
        </w:rPr>
        <w:t xml:space="preserve">3. Target market</w:t>
      </w:r>
    </w:p>
    <w:p>
      <w:pPr>
        <w:spacing w:after="280"/>
      </w:pPr>
      <w:r>
        <w:rPr>
          <w:rFonts w:ascii="Helvetica" w:hAnsi="Helvetica" w:cs="Helvetica"/>
          <w:sz w:val="28"/>
          <w:sz-cs w:val="28"/>
          <w:spacing w:val="0"/>
        </w:rPr>
        <w:t xml:space="preserve">Privacy, DPO and GRC buyers at organisations running </w:t>
      </w:r>
      <w:r>
        <w:rPr>
          <w:rFonts w:ascii="Helvetica" w:hAnsi="Helvetica" w:cs="Helvetica"/>
          <w:sz w:val="28"/>
          <w:sz-cs w:val="28"/>
          <w:b/>
          <w:spacing w:val="0"/>
        </w:rPr>
        <w:t xml:space="preserve">open-weight, self-hosted, EU-facing models</w:t>
      </w:r>
      <w:r>
        <w:rPr>
          <w:rFonts w:ascii="Helvetica" w:hAnsi="Helvetica" w:cs="Helvetica"/>
          <w:sz w:val="28"/>
          <w:sz-cs w:val="28"/>
          <w:spacing w:val="0"/>
        </w:rPr>
        <w:t xml:space="preserve"> with a live or imminent erasure exposure. Our honest estimate of that qualified market is tens to low hundreds of organisations globally, </w:t>
      </w:r>
      <w:r>
        <w:rPr>
          <w:rFonts w:ascii="Helvetica" w:hAnsi="Helvetica" w:cs="Helvetica"/>
          <w:sz w:val="28"/>
          <w:sz-cs w:val="28"/>
          <w:b/>
          <w:spacing w:val="0"/>
        </w:rPr>
        <w:t xml:space="preserve">unmeasured</w:t>
      </w:r>
      <w:r>
        <w:rPr>
          <w:rFonts w:ascii="Helvetica" w:hAnsi="Helvetica" w:cs="Helvetica"/>
          <w:sz w:val="28"/>
          <w:sz-cs w:val="28"/>
          <w:spacing w:val="0"/>
        </w:rPr>
        <w:t xml:space="preserve"> — sizing it via 15–20 privacy-counsel and DPO interviews is a task inside our 30-day gate, not an assumption. Context, not plan: the machine-unlearning niche is projected at $0.15B (2025) → $2.73B (2032), 51.2% CAGR (market-research extrapolation on a small base); Fortune 500 AI-compliance programmes budget $8–15M initially.</w:t>
      </w:r>
    </w:p>
    <w:p>
      <w:pPr>
        <w:spacing w:after="265"/>
      </w:pPr>
      <w:r>
        <w:rPr>
          <w:rFonts w:ascii="Helvetica" w:hAnsi="Helvetica" w:cs="Helvetica"/>
          <w:sz w:val="32"/>
          <w:sz-cs w:val="32"/>
          <w:b/>
          <w:spacing w:val="0"/>
        </w:rPr>
        <w:t xml:space="preserve">4. Traction and milestones</w:t>
      </w:r>
    </w:p>
    <w:p>
      <w:pPr>
        <w:spacing w:after="280"/>
      </w:pPr>
      <w:r>
        <w:rPr>
          <w:rFonts w:ascii="Helvetica" w:hAnsi="Helvetica" w:cs="Helvetica"/>
          <w:sz w:val="28"/>
          <w:sz-cs w:val="28"/>
          <w:b/>
          <w:spacing w:val="0"/>
        </w:rPr>
        <w:t xml:space="preserve">Shipped</w:t>
      </w:r>
      <w:r>
        <w:rPr>
          <w:rFonts w:ascii="Helvetica" w:hAnsi="Helvetica" w:cs="Helvetica"/>
          <w:sz w:val="28"/>
          <w:sz-cs w:val="28"/>
          <w:spacing w:val="0"/>
        </w:rPr>
        <w:t xml:space="preserve"/>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TrustBench receipt in production: first production certificate </w:t>
      </w:r>
      <w:r>
        <w:rPr>
          <w:rFonts w:ascii="Courier" w:hAnsi="Courier" w:cs="Courier"/>
          <w:sz w:val="28"/>
          <w:sz-cs w:val="28"/>
          <w:spacing w:val="0"/>
        </w:rPr>
        <w:t xml:space="preserve">tr_793H62GCEK3W9GAS6YYTWEP0KC</w:t>
      </w:r>
      <w:r>
        <w:rPr>
          <w:rFonts w:ascii="Helvetica" w:hAnsi="Helvetica" w:cs="Helvetica"/>
          <w:sz w:val="28"/>
          <w:sz-cs w:val="28"/>
          <w:spacing w:val="0"/>
        </w:rPr>
        <w:t xml:space="preserve"> is complete, signature valid, externally verifiable with zero credentials; public key registry live.</w:t>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QA suite in production: per-metric threshold gates, scheduled runs, alerts.</w:t>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Erasure API (LarQL) shipped to staging on open-weight models, with two API surfaces, two SDKs, a CLI and a web UI; nine published and sixteen catalogued vIndexes.</w:t>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A measured erasure experiment published in August 2026, including the negative result.</w:t>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Divinci platform in production. </w:t>
      </w:r>
      <w:r>
        <w:rPr>
          <w:rFonts w:ascii="Helvetica" w:hAnsi="Helvetica" w:cs="Helvetica"/>
          <w:sz w:val="28"/>
          <w:sz-cs w:val="28"/>
          <w:b/>
          <w:spacing w:val="0"/>
        </w:rPr>
        <w:t xml:space="preserve">Seven software-development consultancy partnerships</w:t>
      </w:r>
      <w:r>
        <w:rPr>
          <w:rFonts w:ascii="Helvetica" w:hAnsi="Helvetica" w:cs="Helvetica"/>
          <w:sz w:val="28"/>
          <w:sz-cs w:val="28"/>
          <w:spacing w:val="0"/>
        </w:rPr>
        <w:t xml:space="preserve"> signed and ready to run the Divinci demo pipeline and expand Divinci through their own client bases.</w:t>
      </w:r>
    </w:p>
    <w:p>
      <w:pPr>
        <w:spacing w:after="280"/>
      </w:pPr>
      <w:r>
        <w:rPr>
          <w:rFonts w:ascii="Helvetica" w:hAnsi="Helvetica" w:cs="Helvetica"/>
          <w:sz w:val="28"/>
          <w:sz-cs w:val="28"/>
          <w:b/>
          <w:spacing w:val="0"/>
        </w:rPr>
        <w:t xml:space="preserve">Next 30 days (go/no-go gate, pre-registered)</w:t>
      </w:r>
      <w:r>
        <w:rPr>
          <w:rFonts w:ascii="Helvetica" w:hAnsi="Helvetica" w:cs="Helvetica"/>
          <w:sz w:val="28"/>
          <w:sz-cs w:val="28"/>
          <w:spacing w:val="0"/>
        </w:rPr>
        <w:t xml:space="preserve"/>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Individual-level erasure experiment across multiple model families and association types with a control individual; kill criterion stated in advance.</w:t>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Scoped EU data-protection counsel opinion (a bounding input, not the answer).</w:t>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A live GDPR Article 17 request discharged end to end with a design partner.</w:t>
      </w:r>
    </w:p>
    <w:p>
      <w:pPr>
        <w:ind w:left="720" w:first-line="-720"/>
      </w:pPr>
      <w:r>
        <w:rPr>
          <w:rFonts w:ascii="Helvetica" w:hAnsi="Helvetica" w:cs="Helvetica"/>
          <w:sz w:val="28"/>
          <w:sz-cs w:val="28"/>
        </w:rPr>
        <w:t xml:space="preserve"/>
        <w:tab/>
        <w:t xml:space="preserve">•</w:t>
        <w:tab/>
        <w:t xml:space="preserve"/>
      </w:r>
      <w:r>
        <w:rPr>
          <w:rFonts w:ascii="Helvetica" w:hAnsi="Helvetica" w:cs="Helvetica"/>
          <w:sz w:val="28"/>
          <w:sz-cs w:val="28"/>
          <w:spacing w:val="0"/>
        </w:rPr>
        <w:t xml:space="preserve">15–20 demand interviews; three design partners signed; evaluation protocol published within 60 days, including our failures.</w:t>
      </w:r>
    </w:p>
    <w:p>
      <w:pPr>
        <w:spacing w:after="280"/>
      </w:pPr>
      <w:r>
        <w:rPr>
          <w:rFonts w:ascii="Helvetica" w:hAnsi="Helvetica" w:cs="Helvetica"/>
          <w:sz w:val="28"/>
          <w:sz-cs w:val="28"/>
          <w:b/>
          <w:spacing w:val="0"/>
        </w:rPr>
        <w:t xml:space="preserve">Strategic-partner track (contingent on the gate).</w:t>
      </w:r>
      <w:r>
        <w:rPr>
          <w:rFonts w:ascii="Helvetica" w:hAnsi="Helvetica" w:cs="Helvetica"/>
          <w:sz w:val="28"/>
          <w:sz-cs w:val="28"/>
          <w:spacing w:val="0"/>
        </w:rPr>
        <w:t xml:space="preserve"> In-Q-Tel, the not-for-profit strategic investor for the U.S. national-security community, funds technology development agreements of $500k–3M structured as development and licensing deals. The pairing: our signed, independently verifiable receipt is the artifact an AI-assurance audit keeps, and a March 2026 report says the Pentagon plans to let AI companies train on classified data, with the stated risk that sensitive intelligence becomes embedded in the models. We have no relationship with In-Q-Tel today and no clearances; we would approach after the gate result, leading with the receipt.</w:t>
      </w:r>
    </w:p>
    <w:p>
      <w:pPr>
        <w:spacing w:after="265"/>
      </w:pPr>
      <w:r>
        <w:rPr>
          <w:rFonts w:ascii="Helvetica" w:hAnsi="Helvetica" w:cs="Helvetica"/>
          <w:sz w:val="32"/>
          <w:sz-cs w:val="32"/>
          <w:b/>
          <w:spacing w:val="0"/>
        </w:rPr>
        <w:t xml:space="preserve">5. Business model</w:t>
      </w:r>
    </w:p>
    <w:p>
      <w:pPr>
        <w:spacing w:after="280"/>
      </w:pPr>
      <w:r>
        <w:rPr>
          <w:rFonts w:ascii="Helvetica" w:hAnsi="Helvetica" w:cs="Helvetica"/>
          <w:sz w:val="28"/>
          <w:sz-cs w:val="28"/>
          <w:spacing w:val="0"/>
        </w:rPr>
        <w:t xml:space="preserve">Planning-grade pricing, anchored to the retrain substitute (price sits far below retrain/N; retraining clears the whole backlog once):</w:t>
      </w:r>
    </w:p>
    <w:p>
      <w:pPr>
        <w:jc w:val="center"/>
      </w:pPr>
      <w:r>
        <w:rPr>
          <w:rFonts w:ascii="Helvetica" w:hAnsi="Helvetica" w:cs="Helvetica"/>
          <w:sz w:val="26"/>
          <w:sz-cs w:val="26"/>
          <w:b/>
          <w:spacing w:val="0"/>
        </w:rPr>
        <w:t xml:space="preserve">Line</w:t>
      </w:r>
    </w:p>
    <w:p>
      <w:pPr>
        <w:jc w:val="center"/>
      </w:pPr>
      <w:r>
        <w:rPr>
          <w:rFonts w:ascii="Helvetica" w:hAnsi="Helvetica" w:cs="Helvetica"/>
          <w:sz w:val="26"/>
          <w:sz-cs w:val="26"/>
          <w:b/>
          <w:spacing w:val="0"/>
        </w:rPr>
        <w:t xml:space="preserve">Price</w:t>
      </w:r>
    </w:p>
    <w:p>
      <w:pPr/>
      <w:r>
        <w:rPr>
          <w:rFonts w:ascii="Helvetica" w:hAnsi="Helvetica" w:cs="Helvetica"/>
          <w:sz w:val="26"/>
          <w:sz-cs w:val="26"/>
          <w:spacing w:val="0"/>
        </w:rPr>
        <w:t xml:space="preserve">vIndex build, per model-version</w:t>
      </w:r>
    </w:p>
    <w:p>
      <w:pPr/>
      <w:r>
        <w:rPr>
          <w:rFonts w:ascii="Helvetica" w:hAnsi="Helvetica" w:cs="Helvetica"/>
          <w:sz w:val="26"/>
          <w:sz-cs w:val="26"/>
          <w:spacing w:val="0"/>
        </w:rPr>
        <w:t xml:space="preserve">$30k–75k one-time</w:t>
      </w:r>
    </w:p>
    <w:p>
      <w:pPr/>
      <w:r>
        <w:rPr>
          <w:rFonts w:ascii="Helvetica" w:hAnsi="Helvetica" w:cs="Helvetica"/>
          <w:sz w:val="26"/>
          <w:sz-cs w:val="26"/>
          <w:spacing w:val="0"/>
        </w:rPr>
        <w:t xml:space="preserve">Erasure readiness, per model per year (N runs + receipts + re-index)</w:t>
      </w:r>
    </w:p>
    <w:p>
      <w:pPr/>
      <w:r>
        <w:rPr>
          <w:rFonts w:ascii="Helvetica" w:hAnsi="Helvetica" w:cs="Helvetica"/>
          <w:sz w:val="26"/>
          <w:sz-cs w:val="26"/>
          <w:spacing w:val="0"/>
        </w:rPr>
        <w:t xml:space="preserve">$60k–150k</w:t>
      </w:r>
    </w:p>
    <w:p>
      <w:pPr/>
      <w:r>
        <w:rPr>
          <w:rFonts w:ascii="Helvetica" w:hAnsi="Helvetica" w:cs="Helvetica"/>
          <w:sz w:val="26"/>
          <w:sz-cs w:val="26"/>
          <w:spacing w:val="0"/>
        </w:rPr>
        <w:t xml:space="preserve">Overage beyond included runs</w:t>
      </w:r>
    </w:p>
    <w:p>
      <w:pPr/>
      <w:r>
        <w:rPr>
          <w:rFonts w:ascii="Helvetica" w:hAnsi="Helvetica" w:cs="Helvetica"/>
          <w:sz w:val="26"/>
          <w:sz-cs w:val="26"/>
          <w:spacing w:val="0"/>
        </w:rPr>
        <w:t xml:space="preserve">$2k–5k per run (never the anchor)</w:t>
      </w:r>
    </w:p>
    <w:p>
      <w:pPr/>
      <w:r>
        <w:rPr>
          <w:rFonts w:ascii="Helvetica" w:hAnsi="Helvetica" w:cs="Helvetica"/>
          <w:sz w:val="26"/>
          <w:sz-cs w:val="26"/>
          <w:spacing w:val="0"/>
        </w:rPr>
        <w:t xml:space="preserve">Partner / OEM rev-share</w:t>
      </w:r>
    </w:p>
    <w:p>
      <w:pPr/>
      <w:r>
        <w:rPr>
          <w:rFonts w:ascii="Helvetica" w:hAnsi="Helvetica" w:cs="Helvetica"/>
          <w:sz w:val="26"/>
          <w:sz-cs w:val="26"/>
          <w:spacing w:val="0"/>
        </w:rPr>
        <w:t xml:space="preserve">20–25% of list</w:t>
      </w:r>
    </w:p>
    <w:p>
      <w:pPr/>
      <w:r>
        <w:rPr>
          <w:rFonts w:ascii="Helvetica" w:hAnsi="Helvetica" w:cs="Helvetica"/>
          <w:sz w:val="26"/>
          <w:sz-cs w:val="26"/>
          <w:spacing w:val="0"/>
        </w:rPr>
        <w:t xml:space="preserve">Design partners</w:t>
      </w:r>
    </w:p>
    <w:p>
      <w:pPr/>
      <w:r>
        <w:rPr>
          <w:rFonts w:ascii="Helvetica" w:hAnsi="Helvetica" w:cs="Helvetica"/>
          <w:sz w:val="26"/>
          <w:sz-cs w:val="26"/>
          <w:spacing w:val="0"/>
        </w:rPr>
        <w:t xml:space="preserve">$0 + dated publishable case study</w:t>
      </w:r>
    </w:p>
    <w:p>
      <w:pPr>
        <w:spacing w:after="280"/>
      </w:pPr>
      <w:r>
        <w:rPr>
          <w:rFonts w:ascii="Helvetica" w:hAnsi="Helvetica" w:cs="Helvetica"/>
          <w:sz w:val="28"/>
          <w:sz-cs w:val="28"/>
          <w:spacing w:val="0"/>
        </w:rPr>
        <w:t xml:space="preserve">Scales with the customer's model registry, not our headcount: the receipt and re-measure steps are automated. Current revenue is $0; the first dollars come from the consultancy partnerships and the design-partner case studies converting.</w:t>
      </w:r>
    </w:p>
    <w:p>
      <w:pPr>
        <w:spacing w:after="265"/>
      </w:pPr>
      <w:r>
        <w:rPr>
          <w:rFonts w:ascii="Helvetica" w:hAnsi="Helvetica" w:cs="Helvetica"/>
          <w:sz w:val="32"/>
          <w:sz-cs w:val="32"/>
          <w:b/>
          <w:spacing w:val="0"/>
        </w:rPr>
        <w:t xml:space="preserve">6. Team</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Michael Duane Mooring — Co-founder &amp; CEO.</w:t>
      </w:r>
      <w:r>
        <w:rPr>
          <w:rFonts w:ascii="Helvetica" w:hAnsi="Helvetica" w:cs="Helvetica"/>
          <w:sz w:val="28"/>
          <w:sz-cs w:val="28"/>
          <w:spacing w:val="0"/>
        </w:rPr>
        <w:t xml:space="preserve"> Built the Divinci platform from its first commit (2023) through its production surfaces; leads product, engineering and the compliance wedge.</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Samuel Tobia — CTO.</w:t>
      </w:r>
      <w:r>
        <w:rPr>
          <w:rFonts w:ascii="Helvetica" w:hAnsi="Helvetica" w:cs="Helvetica"/>
          <w:sz w:val="28"/>
          <w:sz-cs w:val="28"/>
          <w:spacing w:val="0"/>
        </w:rPr>
        <w:t xml:space="preserve"> Technical co-founder; infrastructure, deployments and the production Cloudflare and Google Cloud estate.</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Anindya Sundar Nandi — Product Marketing Manager.</w:t>
      </w:r>
      <w:r>
        <w:rPr>
          <w:rFonts w:ascii="Helvetica" w:hAnsi="Helvetica" w:cs="Helvetica"/>
          <w:sz w:val="28"/>
          <w:sz-cs w:val="28"/>
          <w:spacing w:val="0"/>
        </w:rPr>
        <w:t xml:space="preserve"> Demo pipeline, partner enablement and customer-facing evaluation of the product.</w:t>
      </w:r>
    </w:p>
    <w:p>
      <w:pPr>
        <w:spacing w:after="280"/>
      </w:pPr>
      <w:r>
        <w:rPr>
          <w:rFonts w:ascii="Helvetica" w:hAnsi="Helvetica" w:cs="Helvetica"/>
          <w:sz w:val="28"/>
          <w:sz-cs w:val="28"/>
          <w:spacing w:val="0"/>
        </w:rPr>
        <w:t xml:space="preserve">Two technical co-founders; five shipping product surfaces (web, embed, desktop, SDK/CLI, MCP). Advisors and partnerships: The Brink SBDC @ USD (Bobby Edelman); member of the Google for Startups Cloud Program, with a Google Cloud Marketplace listing in progress; a named academic co-signer is a recruitment target of the gate, not yet secured.</w:t>
      </w:r>
    </w:p>
    <w:p>
      <w:pPr>
        <w:spacing w:after="265"/>
      </w:pPr>
      <w:r>
        <w:rPr>
          <w:rFonts w:ascii="Helvetica" w:hAnsi="Helvetica" w:cs="Helvetica"/>
          <w:sz w:val="32"/>
          <w:sz-cs w:val="32"/>
          <w:b/>
          <w:spacing w:val="0"/>
        </w:rPr>
        <w:t xml:space="preserve">7. Financial highlights</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Stage:</w:t>
      </w:r>
      <w:r>
        <w:rPr>
          <w:rFonts w:ascii="Helvetica" w:hAnsi="Helvetica" w:cs="Helvetica"/>
          <w:sz w:val="28"/>
          <w:sz-cs w:val="28"/>
          <w:spacing w:val="0"/>
        </w:rPr>
        <w:t xml:space="preserve"> bootstrapped; no seed round raised. </w:t>
      </w:r>
      <w:r>
        <w:rPr>
          <w:rFonts w:ascii="Helvetica" w:hAnsi="Helvetica" w:cs="Helvetica"/>
          <w:sz w:val="28"/>
          <w:sz-cs w:val="28"/>
          <w:b/>
          <w:spacing w:val="0"/>
        </w:rPr>
        <w:t xml:space="preserve">Current revenue:</w:t>
      </w:r>
      <w:r>
        <w:rPr>
          <w:rFonts w:ascii="Helvetica" w:hAnsi="Helvetica" w:cs="Helvetica"/>
          <w:sz w:val="28"/>
          <w:sz-cs w:val="28"/>
          <w:spacing w:val="0"/>
        </w:rPr>
        <w:t xml:space="preserve"> $0. </w:t>
      </w:r>
      <w:r>
        <w:rPr>
          <w:rFonts w:ascii="Helvetica" w:hAnsi="Helvetica" w:cs="Helvetica"/>
          <w:sz w:val="28"/>
          <w:sz-cs w:val="28"/>
          <w:b/>
          <w:spacing w:val="0"/>
        </w:rPr>
        <w:t xml:space="preserve">Burn:</w:t>
      </w:r>
      <w:r>
        <w:rPr>
          <w:rFonts w:ascii="Helvetica" w:hAnsi="Helvetica" w:cs="Helvetica"/>
          <w:sz w:val="28"/>
          <w:sz-cs w:val="28"/>
          <w:spacing w:val="0"/>
        </w:rPr>
        <w:t xml:space="preserve"> ~$11,500–13,000/month going forward; founders currently draw no salary. That is the Cloudflare Enterprise contract at $5,278.90/month, Google Cloud at $1,500–3,000/month now that the Google for Startups credit is spent, and ~$4,700/month of other operating costs. </w:t>
      </w:r>
      <w:r>
        <w:rPr>
          <w:rFonts w:ascii="Helvetica" w:hAnsi="Helvetica" w:cs="Helvetica"/>
          <w:sz w:val="28"/>
          <w:sz-cs w:val="28"/>
          <w:b/>
          <w:spacing w:val="0"/>
        </w:rPr>
        <w:t xml:space="preserve">Break-even target:</w:t>
      </w:r>
      <w:r>
        <w:rPr>
          <w:rFonts w:ascii="Helvetica" w:hAnsi="Helvetica" w:cs="Helvetica"/>
          <w:sz w:val="28"/>
          <w:sz-cs w:val="28"/>
          <w:spacing w:val="0"/>
        </w:rPr>
        <w:t xml:space="preserve"> ~$17,500–19,000/month — that burn plus $2,000/month each for the three founders. Everything above that line is return.</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Compliance programme, year 1:</w:t>
      </w:r>
      <w:r>
        <w:rPr>
          <w:rFonts w:ascii="Helvetica" w:hAnsi="Helvetica" w:cs="Helvetica"/>
          <w:sz w:val="28"/>
          <w:sz-cs w:val="28"/>
          <w:spacing w:val="0"/>
        </w:rPr>
        <w:t xml:space="preserve"> ~$224k at founder scale (subtotal ~$179k + 25% contingency), funded from operations; programme revenue in year 1 is </w:t>
      </w:r>
      <w:r>
        <w:rPr>
          <w:rFonts w:ascii="Helvetica" w:hAnsi="Helvetica" w:cs="Helvetica"/>
          <w:sz w:val="28"/>
          <w:sz-cs w:val="28"/>
          <w:b/>
          <w:spacing w:val="0"/>
        </w:rPr>
        <w:t xml:space="preserve">$0</w:t>
      </w:r>
      <w:r>
        <w:rPr>
          <w:rFonts w:ascii="Helvetica" w:hAnsi="Helvetica" w:cs="Helvetica"/>
          <w:sz w:val="28"/>
          <w:sz-cs w:val="28"/>
          <w:spacing w:val="0"/>
        </w:rPr>
        <w:t xml:space="preserve"> — this is twelve months of investment, and roughly 15% of a three-person team's year.</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Post-gate scenarios (workbook v0.2):</w:t>
      </w:r>
      <w:r>
        <w:rPr>
          <w:rFonts w:ascii="Helvetica" w:hAnsi="Helvetica" w:cs="Helvetica"/>
          <w:sz w:val="28"/>
          <w:sz-cs w:val="28"/>
          <w:spacing w:val="0"/>
        </w:rPr>
        <w:t xml:space="preserve"> Lean ~$1.53M (~5 people, validate the wedge); Standard ~$3.47M (~8–9 people, $150–400k revenue from 2–4 direct deals); Aggressive ~$6.06M (~15–18, $0.5–1.2M). These are justified only </w:t>
      </w:r>
      <w:r>
        <w:rPr>
          <w:rFonts w:ascii="Helvetica" w:hAnsi="Helvetica" w:cs="Helvetica"/>
          <w:sz w:val="28"/>
          <w:sz-cs w:val="28"/>
          <w:i/>
          <w:spacing w:val="0"/>
        </w:rPr>
        <w:t xml:space="preserve">against</w:t>
      </w:r>
      <w:r>
        <w:rPr>
          <w:rFonts w:ascii="Helvetica" w:hAnsi="Helvetica" w:cs="Helvetica"/>
          <w:sz w:val="28"/>
          <w:sz-cs w:val="28"/>
          <w:spacing w:val="0"/>
        </w:rPr>
        <w:t xml:space="preserve"> the gate's result.</w:t>
      </w:r>
    </w:p>
    <w:p>
      <w:pPr>
        <w:ind w:left="720" w:first-line="-720"/>
      </w:pPr>
      <w:r>
        <w:rPr>
          <w:rFonts w:ascii="Helvetica" w:hAnsi="Helvetica" w:cs="Helvetica"/>
          <w:sz w:val="28"/>
          <w:sz-cs w:val="28"/>
          <w:b/>
        </w:rPr>
        <w:t xml:space="preserve"/>
        <w:tab/>
        <w:t xml:space="preserve">•</w:t>
        <w:tab/>
        <w:t xml:space="preserve"/>
      </w:r>
      <w:r>
        <w:rPr>
          <w:rFonts w:ascii="Helvetica" w:hAnsi="Helvetica" w:cs="Helvetica"/>
          <w:sz w:val="28"/>
          <w:sz-cs w:val="28"/>
          <w:b/>
          <w:spacing w:val="0"/>
        </w:rPr>
        <w:t xml:space="preserve">Margins:</w:t>
      </w:r>
      <w:r>
        <w:rPr>
          <w:rFonts w:ascii="Helvetica" w:hAnsi="Helvetica" w:cs="Helvetica"/>
          <w:sz w:val="28"/>
          <w:sz-cs w:val="28"/>
          <w:spacing w:val="0"/>
        </w:rPr>
        <w:t xml:space="preserve"> vIndex build cost per model-version is not yet measured and is the open item blocking a gross-margin claim; it is a Week-2 task.</w:t>
      </w:r>
    </w:p>
    <w:p>
      <w:pPr>
        <w:spacing w:after="265"/>
      </w:pPr>
      <w:r>
        <w:rPr>
          <w:rFonts w:ascii="Helvetica" w:hAnsi="Helvetica" w:cs="Helvetica"/>
          <w:sz w:val="32"/>
          <w:sz-cs w:val="32"/>
          <w:b/>
          <w:spacing w:val="0"/>
        </w:rPr>
        <w:t xml:space="preserve">8. Funding ask</w:t>
      </w:r>
    </w:p>
    <w:p>
      <w:pPr>
        <w:spacing w:after="280"/>
      </w:pPr>
      <w:r>
        <w:rPr>
          <w:rFonts w:ascii="Helvetica" w:hAnsi="Helvetica" w:cs="Helvetica"/>
          <w:sz w:val="28"/>
          <w:sz-cs w:val="28"/>
          <w:b/>
          <w:spacing w:val="0"/>
        </w:rPr>
        <w:t xml:space="preserve">No capital is required to run the 30-day gate.</w:t>
      </w:r>
      <w:r>
        <w:rPr>
          <w:rFonts w:ascii="Helvetica" w:hAnsi="Helvetica" w:cs="Helvetica"/>
          <w:sz w:val="28"/>
          <w:sz-cs w:val="28"/>
          <w:spacing w:val="0"/>
        </w:rPr>
        <w:t xml:space="preserve"> What we are asking for now: three design partners with open-weight models and EU exposure; an introduction to EU data-protection counsel who will take the scoped question; a named academic willing to adversarially test and co-sign the result.</w:t>
      </w:r>
    </w:p>
    <w:p>
      <w:pPr>
        <w:spacing w:after="280"/>
      </w:pPr>
      <w:r>
        <w:rPr>
          <w:rFonts w:ascii="Helvetica" w:hAnsi="Helvetica" w:cs="Helvetica"/>
          <w:sz w:val="28"/>
          <w:sz-cs w:val="28"/>
          <w:b/>
          <w:spacing w:val="0"/>
        </w:rPr>
        <w:t xml:space="preserve">If the gate passes</w:t>
      </w:r>
      <w:r>
        <w:rPr>
          <w:rFonts w:ascii="Helvetica" w:hAnsi="Helvetica" w:cs="Helvetica"/>
          <w:sz w:val="28"/>
          <w:sz-cs w:val="28"/>
          <w:spacing w:val="0"/>
        </w:rPr>
        <w:t xml:space="preserve"> (experiment holds, counsel memo supports the argument), we would raise </w:t>
      </w:r>
      <w:r>
        <w:rPr>
          <w:rFonts w:ascii="Helvetica" w:hAnsi="Helvetica" w:cs="Helvetica"/>
          <w:sz w:val="28"/>
          <w:sz-cs w:val="28"/>
          <w:b/>
          <w:spacing w:val="0"/>
        </w:rPr>
        <w:t xml:space="preserve">~$1.5M</w:t>
      </w:r>
      <w:r>
        <w:rPr>
          <w:rFonts w:ascii="Helvetica" w:hAnsi="Helvetica" w:cs="Helvetica"/>
          <w:sz w:val="28"/>
          <w:sz-cs w:val="28"/>
          <w:spacing w:val="0"/>
        </w:rPr>
        <w:t xml:space="preserve"> against the Lean scenario, alongside an In-Q-Tel work-program application as a non-dilutive complement, allocated: engineering $810k (2 ML + 1 platform engineer); independent validation, SOC 2 and ISO 42001 $180k; legal, IP and regulatory $90k; GPU, vIndex COGS and cloud $55k; design-partner delivery, events, content, travel and partner fees $65k; insurance and overhead $25k; 25% contingency $306k. No valuation target has been set; the ROI frame today is the break-even line above, and a priced round is only justified against the gate's result.</w:t>
      </w:r>
    </w:p>
    <w:p>
      <w:pPr>
        <w:spacing w:after="265"/>
      </w:pPr>
      <w:r>
        <w:rPr>
          <w:rFonts w:ascii="Helvetica" w:hAnsi="Helvetica" w:cs="Helvetica"/>
          <w:sz w:val="32"/>
          <w:sz-cs w:val="32"/>
          <w:b/>
          <w:spacing w:val="0"/>
        </w:rPr>
        <w:t xml:space="preserve">9. Competitive advantage</w:t>
      </w:r>
    </w:p>
    <w:p>
      <w:pPr>
        <w:spacing w:after="280"/>
      </w:pPr>
      <w:r>
        <w:rPr>
          <w:rFonts w:ascii="Helvetica" w:hAnsi="Helvetica" w:cs="Helvetica"/>
          <w:sz w:val="28"/>
          <w:sz-cs w:val="28"/>
          <w:spacing w:val="0"/>
        </w:rPr>
        <w:t xml:space="preserve">The defensible position is the </w:t>
      </w:r>
      <w:r>
        <w:rPr>
          <w:rFonts w:ascii="Helvetica" w:hAnsi="Helvetica" w:cs="Helvetica"/>
          <w:sz w:val="28"/>
          <w:sz-cs w:val="28"/>
          <w:b/>
          <w:spacing w:val="0"/>
        </w:rPr>
        <w:t xml:space="preserve">bundle</w:t>
      </w:r>
      <w:r>
        <w:rPr>
          <w:rFonts w:ascii="Helvetica" w:hAnsi="Helvetica" w:cs="Helvetica"/>
          <w:sz w:val="28"/>
          <w:sz-cs w:val="28"/>
          <w:spacing w:val="0"/>
        </w:rPr>
        <w:t xml:space="preserve">: baseline → erase → re-measure → attest, as one verifiable artifact. Competitors: Hirundo (Israel, $8M seed, weight-level edits on Llama / DeepSeek / Qwen / Gemma) is ahead on distribution and could copy a receipt format in weeks, but is behind on EU framing and, as far as we can see, on the evidence artifact. Rank-one editing methods (ROME / MEMIT) are published commodity; the moat is not the edit, it is the measured, signed, independently checkable evidence around it. We publish our failures, which is credibility, not a moat. Divinci holds a registered trademark; no patents are filed, and a freedom-to-operate review is budgeted.</w:t>
      </w:r>
    </w:p>
    <w:p>
      <w:pPr>
        <w:spacing w:after="265"/>
      </w:pPr>
      <w:r>
        <w:rPr>
          <w:rFonts w:ascii="Helvetica" w:hAnsi="Helvetica" w:cs="Helvetica"/>
          <w:sz w:val="32"/>
          <w:sz-cs w:val="32"/>
          <w:b/>
          <w:spacing w:val="0"/>
        </w:rPr>
        <w:t xml:space="preserve">10. Contact</w:t>
      </w:r>
    </w:p>
    <w:p>
      <w:pPr>
        <w:spacing w:after="280"/>
      </w:pPr>
      <w:r>
        <w:rPr>
          <w:rFonts w:ascii="Helvetica" w:hAnsi="Helvetica" w:cs="Helvetica"/>
          <w:sz w:val="28"/>
          <w:sz-cs w:val="28"/>
          <w:spacing w:val="0"/>
        </w:rPr>
        <w:t xml:space="preserve">Michael Duane Mooring, Co-founder &amp; CEO · mike@divinci.ai · +1 646-346-0194 · https://divinci.ai</w:t>
      </w:r>
    </w:p>
    <w:p>
      <w:pPr>
        <w:spacing w:after="280"/>
      </w:pPr>
      <w:r>
        <w:rPr>
          <w:rFonts w:ascii="Helvetica" w:hAnsi="Helvetica" w:cs="Helvetica"/>
          <w:sz w:val="28"/>
          <w:sz-cs w:val="28"/>
          <w:i/>
          <w:spacing w:val="0"/>
        </w:rPr>
        <w:t xml:space="preserve">Citation layer: GDPR Article 17 is the erasure right; EU AI Act Article 17 is the quality-management system; Annex IV contains no erasure clause.</w:t>
      </w:r>
      <w:r>
        <w:rPr>
          <w:rFonts w:ascii="Helvetica" w:hAnsi="Helvetica" w:cs="Helvetica"/>
          <w:sz w:val="28"/>
          <w:sz-cs w:val="28"/>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