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80"/>
              <w:left w:type="dxa" w:w="480"/>
              <w:bottom w:type="dxa" w:w="480"/>
              <w:right w:type="dxa" w:w="480"/>
            </w:tcMar>
          </w:tcPr>
          <w:p>
            <w:pPr>
              <w:spacing w:after="160" w:before="0"/>
              <w:jc w:val="center"/>
            </w:pPr>
            <w:r>
              <w:rPr>
                <w:rFonts w:ascii="Arial" w:cs="Arial" w:eastAsia="Arial" w:hAnsi="Arial"/>
                <w:b/>
                <w:bCs/>
                <w:color w:val="FFFFFF"/>
                <w:sz w:val="72"/>
                <w:szCs w:val="72"/>
              </w:rPr>
              <w:t xml:space="preserve">REGULA</w:t>
            </w:r>
          </w:p>
          <w:p>
            <w:pPr>
              <w:spacing w:after="200" w:before="0"/>
              <w:jc w:val="center"/>
            </w:pPr>
            <w:r>
              <w:rPr>
                <w:rFonts w:ascii="Arial" w:cs="Arial" w:eastAsia="Arial" w:hAnsi="Arial"/>
                <w:b/>
                <w:bCs/>
                <w:color w:val="A8C8FF"/>
                <w:sz w:val="26"/>
                <w:szCs w:val="26"/>
              </w:rPr>
              <w:t xml:space="preserve">AI DISRUPTION RISK ASSESSMENT &amp; MOAT DEFENCE PLAYBOOK</w:t>
            </w:r>
          </w:p>
          <w:p>
            <w:pPr>
              <w:spacing w:after="160" w:before="0"/>
              <w:jc w:val="center"/>
            </w:pPr>
            <w:r>
              <w:rPr>
                <w:rFonts w:ascii="Arial" w:cs="Arial" w:eastAsia="Arial" w:hAnsi="Arial"/>
                <w:color w:val="8899BB"/>
                <w:sz w:val="20"/>
                <w:szCs w:val="20"/>
              </w:rPr>
              <w:t xml:space="preserve">Prepared: April 2026  |  Classification: Strategic / Confidential</w:t>
            </w:r>
          </w:p>
          <w:p>
            <w:pPr>
              <w:jc w:val="center"/>
            </w:pPr>
            <w:r>
              <w:rPr>
                <w:rFonts w:ascii="Arial" w:cs="Arial" w:eastAsia="Arial" w:hAnsi="Arial"/>
                <w:color w:val="8899BB"/>
                <w:sz w:val="20"/>
                <w:szCs w:val="20"/>
              </w:rPr>
              <w:t xml:space="preserve">regula.mushoodhanif.com</w:t>
            </w:r>
          </w:p>
        </w:tc>
      </w:tr>
    </w:tbl>
    <w:p>
      <w:pPr>
        <w:spacing w:after="240" w:before="0"/>
      </w:pPr>
      <w:r>
        <w:t xml:space="preserve"/>
      </w:r>
    </w:p>
    <w:p>
      <w:pPr>
        <w:pStyle w:val="Heading1"/>
        <w:pBdr>
          <w:bottom w:val="single" w:color="2E5FA3" w:sz="8" w:space="6"/>
        </w:pBdr>
        <w:spacing w:after="160" w:before="400"/>
      </w:pPr>
      <w:r>
        <w:rPr>
          <w:rFonts w:ascii="Arial" w:cs="Arial" w:eastAsia="Arial" w:hAnsi="Arial"/>
          <w:b/>
          <w:bCs/>
          <w:color w:val="1B3A6B"/>
          <w:sz w:val="36"/>
          <w:szCs w:val="36"/>
        </w:rPr>
        <w:t xml:space="preserve">Executive Summary</w:t>
      </w:r>
    </w:p>
    <w:p>
      <w:pPr>
        <w:spacing w:after="120" w:before="80"/>
      </w:pPr>
      <w:r>
        <w:rPr>
          <w:rFonts w:ascii="Arial" w:cs="Arial" w:eastAsia="Arial" w:hAnsi="Arial"/>
          <w:color w:val="1A1A2E"/>
          <w:sz w:val="22"/>
          <w:szCs w:val="22"/>
        </w:rPr>
        <w:t xml:space="preserve">This report delivers a brutally honest assessment of whether a general-purpose AI assistant (Claude, GPT-4o, Gemini, etc.) can fully replace Regula — an AI-powered regulatory compliance monitoring platform focused on emerging-market FinTech teams.</w:t>
      </w:r>
    </w:p>
    <w:p>
      <w:pPr>
        <w:spacing w:after="80" w:before="0"/>
      </w:pPr>
      <w:r>
        <w:t xml:space="preserve"/>
      </w:r>
    </w:p>
    <w:p>
      <w:pPr>
        <w:spacing w:after="120" w:before="80"/>
      </w:pPr>
      <w:r>
        <w:rPr>
          <w:rFonts w:ascii="Arial" w:cs="Arial" w:eastAsia="Arial" w:hAnsi="Arial"/>
          <w:color w:val="1A1A2E"/>
          <w:sz w:val="22"/>
          <w:szCs w:val="22"/>
        </w:rPr>
        <w:t xml:space="preserve">The short answer: Not today, not entirely — but the threat window is closing fast. Regula currently occupies a narrow but real moat built on operational workflow integration, scheduled crawling infrastructure, region-specific source coverage, and team collaboration features. However, these moats are thin and eroding as AI agents, browser-use tools, and deep research products mature.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7" w:val="clear"/>
            <w:tcMar>
              <w:top w:type="dxa" w:w="160"/>
              <w:left w:type="dxa" w:w="200"/>
              <w:bottom w:type="dxa" w:w="160"/>
              <w:right w:type="dxa" w:w="200"/>
            </w:tcMar>
          </w:tcPr>
          <w:p>
            <w:pPr>
              <w:spacing w:after="60" w:before="0"/>
            </w:pPr>
            <w:r>
              <w:rPr>
                <w:rFonts w:ascii="Arial" w:cs="Arial" w:eastAsia="Arial" w:hAnsi="Arial"/>
                <w:b/>
                <w:bCs/>
                <w:color w:val="1B3A6B"/>
                <w:sz w:val="22"/>
                <w:szCs w:val="22"/>
              </w:rPr>
              <w:t xml:space="preserve">Verdict Summary</w:t>
            </w:r>
          </w:p>
          <w:p>
            <w:pPr>
              <w:spacing w:after="0" w:before="0"/>
            </w:pPr>
            <w:r>
              <w:rPr>
                <w:rFonts w:ascii="Arial" w:cs="Arial" w:eastAsia="Arial" w:hAnsi="Arial"/>
                <w:color w:val="1A1A2E"/>
                <w:sz w:val="21"/>
                <w:szCs w:val="21"/>
              </w:rPr>
              <w:t xml:space="preserve">AI CAN already replicate ~60% of Regula's individual feature set via ad-hoc prompting. AI CANNOT yet replicate the integrated ops workflow, source freshness guarantees, audit-ready evidence chains, team-assigned triage, and scheduled autonomous monitoring that Regula delivers as a system. The moat is real but thin — and requires deliberate reinforcement.</w:t>
            </w:r>
          </w:p>
        </w:tc>
      </w:tr>
    </w:tbl>
    <w:p>
      <w:pPr>
        <w:spacing w:after="160" w:before="0"/>
      </w:pPr>
      <w:r>
        <w:t xml:space="preserve"/>
      </w:r>
    </w:p>
    <w:p>
      <w:pPr>
        <w:pStyle w:val="Heading1"/>
        <w:pBdr>
          <w:bottom w:val="single" w:color="2E5FA3" w:sz="8" w:space="6"/>
        </w:pBdr>
        <w:spacing w:after="160" w:before="400"/>
      </w:pPr>
      <w:r>
        <w:rPr>
          <w:rFonts w:ascii="Arial" w:cs="Arial" w:eastAsia="Arial" w:hAnsi="Arial"/>
          <w:b/>
          <w:bCs/>
          <w:color w:val="1B3A6B"/>
          <w:sz w:val="36"/>
          <w:szCs w:val="36"/>
        </w:rPr>
        <w:t xml:space="preserve">1. Product Overview — What Regula Actually Does</w:t>
      </w:r>
    </w:p>
    <w:p>
      <w:pPr>
        <w:spacing w:after="120" w:before="80"/>
      </w:pPr>
      <w:r>
        <w:rPr>
          <w:rFonts w:ascii="Arial" w:cs="Arial" w:eastAsia="Arial" w:hAnsi="Arial"/>
          <w:color w:val="1A1A2E"/>
          <w:sz w:val="22"/>
          <w:szCs w:val="22"/>
        </w:rPr>
        <w:t xml:space="preserve">Regula is a SaaS regulatory operations platform designed for FinTech teams in emerging markets (with current focus on Pakistan — SBP, SECP — and extending to Nigeria's CBN and Malaysia's BNM). Its core value chain consists of six stages:</w:t>
      </w:r>
    </w:p>
    <w:p>
      <w:pPr>
        <w:spacing w:after="6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Target Discovery — Users configure regulatory sources (government portals, central banks, capital market bodies) they want to monitor.</w:t>
      </w:r>
    </w:p>
    <w:p>
      <w:pPr>
        <w:pStyle w:val="ListParagraph"/>
        <w:numPr>
          <w:ilvl w:val="0"/>
          <w:numId w:val="2"/>
        </w:numPr>
        <w:spacing w:after="60" w:before="60"/>
      </w:pPr>
      <w:r>
        <w:rPr>
          <w:rFonts w:ascii="Arial" w:cs="Arial" w:eastAsia="Arial" w:hAnsi="Arial"/>
          <w:color w:val="1A1A2E"/>
          <w:sz w:val="22"/>
          <w:szCs w:val="22"/>
        </w:rPr>
        <w:t xml:space="preserve">Scheduled Crawling — Regula autonomously crawls those sources on user-defined cadences (daily on Free, hourly on paid tiers).</w:t>
      </w:r>
    </w:p>
    <w:p>
      <w:pPr>
        <w:pStyle w:val="ListParagraph"/>
        <w:numPr>
          <w:ilvl w:val="0"/>
          <w:numId w:val="2"/>
        </w:numPr>
        <w:spacing w:after="60" w:before="60"/>
      </w:pPr>
      <w:r>
        <w:rPr>
          <w:rFonts w:ascii="Arial" w:cs="Arial" w:eastAsia="Arial" w:hAnsi="Arial"/>
          <w:color w:val="1A1A2E"/>
          <w:sz w:val="22"/>
          <w:szCs w:val="22"/>
        </w:rPr>
        <w:t xml:space="preserve">Change Detection &amp; Diffing — Material changes are detected and surfaced as version diffs with side-by-side comparison.</w:t>
      </w:r>
    </w:p>
    <w:p>
      <w:pPr>
        <w:pStyle w:val="ListParagraph"/>
        <w:numPr>
          <w:ilvl w:val="0"/>
          <w:numId w:val="2"/>
        </w:numPr>
        <w:spacing w:after="60" w:before="60"/>
      </w:pPr>
      <w:r>
        <w:rPr>
          <w:rFonts w:ascii="Arial" w:cs="Arial" w:eastAsia="Arial" w:hAnsi="Arial"/>
          <w:color w:val="1A1A2E"/>
          <w:sz w:val="22"/>
          <w:szCs w:val="22"/>
        </w:rPr>
        <w:t xml:space="preserve">AI Analysis Pipeline — Changes are summarized, classified, and scored for impact (e.g., Impact Score 8.5/10, Category: Data Privacy).</w:t>
      </w:r>
    </w:p>
    <w:p>
      <w:pPr>
        <w:pStyle w:val="ListParagraph"/>
        <w:numPr>
          <w:ilvl w:val="0"/>
          <w:numId w:val="2"/>
        </w:numPr>
        <w:spacing w:after="60" w:before="60"/>
      </w:pPr>
      <w:r>
        <w:rPr>
          <w:rFonts w:ascii="Arial" w:cs="Arial" w:eastAsia="Arial" w:hAnsi="Arial"/>
          <w:color w:val="1A1A2E"/>
          <w:sz w:val="22"/>
          <w:szCs w:val="22"/>
        </w:rPr>
        <w:t xml:space="preserve">Triage Workflow — Alerts are routed to team members via in-app assignments, comments, snooze, and thread-based collaboration.</w:t>
      </w:r>
    </w:p>
    <w:p>
      <w:pPr>
        <w:pStyle w:val="ListParagraph"/>
        <w:numPr>
          <w:ilvl w:val="0"/>
          <w:numId w:val="2"/>
        </w:numPr>
        <w:spacing w:after="60" w:before="60"/>
      </w:pPr>
      <w:r>
        <w:rPr>
          <w:rFonts w:ascii="Arial" w:cs="Arial" w:eastAsia="Arial" w:hAnsi="Arial"/>
          <w:color w:val="1A1A2E"/>
          <w:sz w:val="22"/>
          <w:szCs w:val="22"/>
        </w:rPr>
        <w:t xml:space="preserve">Governance &amp; Audit — All activity is logged in audit trails with GDPR export, data retention controls, and role-based access.</w:t>
      </w:r>
    </w:p>
    <w:p>
      <w:pPr>
        <w:spacing w:after="80" w:before="0"/>
      </w:pPr>
      <w:r>
        <w:t xml:space="preserve"/>
      </w:r>
    </w:p>
    <w:p>
      <w:pPr>
        <w:spacing w:after="120" w:before="80"/>
      </w:pPr>
      <w:r>
        <w:rPr>
          <w:rFonts w:ascii="Arial" w:cs="Arial" w:eastAsia="Arial" w:hAnsi="Arial"/>
          <w:color w:val="1A1A2E"/>
          <w:sz w:val="22"/>
          <w:szCs w:val="22"/>
        </w:rPr>
        <w:t xml:space="preserve">Regula's pricing starts at $0 (Free: 3 targets, daily crawls) through $39/mo Starter to $499/mo Enterprise. It targets teams that need a system of record for regulatory change — not a document search tool or legal research assistant.</w:t>
      </w:r>
    </w:p>
    <w:p>
      <w:pPr>
        <w:spacing w:after="160" w:before="0"/>
      </w:pPr>
      <w:r>
        <w:t xml:space="preserve"/>
      </w:r>
    </w:p>
    <w:p>
      <w:pPr>
        <w:pStyle w:val="Heading1"/>
        <w:pBdr>
          <w:bottom w:val="single" w:color="2E5FA3" w:sz="8" w:space="6"/>
        </w:pBdr>
        <w:spacing w:after="160" w:before="400"/>
      </w:pPr>
      <w:r>
        <w:rPr>
          <w:rFonts w:ascii="Arial" w:cs="Arial" w:eastAsia="Arial" w:hAnsi="Arial"/>
          <w:b/>
          <w:bCs/>
          <w:color w:val="1B3A6B"/>
          <w:sz w:val="36"/>
          <w:szCs w:val="36"/>
        </w:rPr>
        <w:t xml:space="preserve">2. AI Replacement Threat Analysis — Feature by Feature</w:t>
      </w:r>
    </w:p>
    <w:p>
      <w:pPr>
        <w:spacing w:after="120" w:before="80"/>
      </w:pPr>
      <w:r>
        <w:rPr>
          <w:rFonts w:ascii="Arial" w:cs="Arial" w:eastAsia="Arial" w:hAnsi="Arial"/>
          <w:color w:val="1A1A2E"/>
          <w:sz w:val="22"/>
          <w:szCs w:val="22"/>
        </w:rPr>
        <w:t xml:space="preserve">To assess how replaceable Regula is, we analyse each feature area against what a sufficiently capable AI agent (with web access, code execution, and persistent memory) can do today and in 12 months.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Feature Area</w:t>
            </w:r>
          </w:p>
        </w:tc>
        <w:tc>
          <w:tcPr>
            <w:tcW w:type="dxa" w:w="3120"/>
            <w:tcBorders>
              <w:top w:val="single" w:color="DDDDDD" w:sz="1"/>
              <w:left w:val="single" w:color="DDDDDD" w:sz="1"/>
              <w:bottom w:val="single" w:color="DDDDDD" w:sz="1"/>
              <w:right w:val="single" w:color="DDDDDD"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AI Replaceability Today</w:t>
            </w:r>
          </w:p>
        </w:tc>
        <w:tc>
          <w:tcPr>
            <w:tcW w:type="dxa" w:w="3120"/>
            <w:tcBorders>
              <w:top w:val="single" w:color="DDDDDD" w:sz="1"/>
              <w:left w:val="single" w:color="DDDDDD" w:sz="1"/>
              <w:bottom w:val="single" w:color="DDDDDD" w:sz="1"/>
              <w:right w:val="single" w:color="DDDDDD"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Remaining Moat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Summarise regulatory changes</w:t>
            </w:r>
          </w:p>
        </w:tc>
        <w:tc>
          <w:tcPr>
            <w:tcW w:type="dxa" w:w="312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 — Any LLM with web access can summarise a new circular from SBP in seconds.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Speed is comparable. But Regula has the change already queued with diff context.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Impact scoring &amp; classification</w:t>
            </w:r>
          </w:p>
        </w:tc>
        <w:tc>
          <w:tcPr>
            <w:tcW w:type="dxa" w:w="312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 — Prompt engineering can extract impact scores from raw text.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Regula's scoring is calibrated over time; custom taxonomy compounds.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Scheduled autonomous crawling</w:t>
            </w:r>
          </w:p>
        </w:tc>
        <w:tc>
          <w:tcPr>
            <w:tcW w:type="dxa" w:w="312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 — AI agents + browser-use can crawl, but require setup and maintenance.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Regula's infrastructure handles broken pages, JS rendering, login walls.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Version history &amp; side-by-side diff</w:t>
            </w:r>
          </w:p>
        </w:tc>
        <w:tc>
          <w:tcPr>
            <w:tcW w:type="dxa" w:w="312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 — Scripts can diff text, but no persistent timeline without infrastructure.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Regula stores versioned evidence chains across months/years.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Team triage &amp; assignment workflow</w:t>
            </w:r>
          </w:p>
        </w:tc>
        <w:tc>
          <w:tcPr>
            <w:tcW w:type="dxa" w:w="312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 — No AI assistant has multi-user workflow, snooze, assignment, and audit built-in.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This is Regula's strongest moat today — integrated ops.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Audit logs &amp; GDPR controls</w:t>
            </w:r>
          </w:p>
        </w:tc>
        <w:tc>
          <w:tcPr>
            <w:tcW w:type="dxa" w:w="312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 — AI cannot provide legally defensible audit trails with export.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Hard compliance infrastructure — cannot be replicated by prompting.</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In-app analytics &amp; coverage</w:t>
            </w:r>
          </w:p>
        </w:tc>
        <w:tc>
          <w:tcPr>
            <w:tcW w:type="dxa" w:w="312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 — No AI assistant surfaces engagement and operational signals per org.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Org-level analytics require persistent, multi-user data.</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Multi-channel delivery (Slack/Teams)</w:t>
            </w:r>
          </w:p>
        </w:tc>
        <w:tc>
          <w:tcPr>
            <w:tcW w:type="dxa" w:w="312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 — Integrations exist but require user setup for every source.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Regula's integrations are pre-wired per plan tier.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Emerging-market source coverage (SBP, SECP, CBN, BNM)</w:t>
            </w:r>
          </w:p>
        </w:tc>
        <w:tc>
          <w:tcPr>
            <w:tcW w:type="dxa" w:w="312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 — General AI has poor freshness on emerging-market regulator sites.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Regula's curated crawl targets are a genuine data moat.</w:t>
            </w:r>
          </w:p>
        </w:tc>
      </w:tr>
    </w:tbl>
    <w:p>
      <w:pPr>
        <w:spacing w:after="80" w:before="0"/>
      </w:pPr>
      <w:r>
        <w:t xml:space="preserve"/>
      </w:r>
    </w:p>
    <w:p>
      <w:pPr>
        <w:spacing w:after="120" w:before="80"/>
      </w:pPr>
      <w:r>
        <w:rPr>
          <w:rFonts w:ascii="Arial" w:cs="Arial" w:eastAsia="Arial" w:hAnsi="Arial"/>
          <w:i/>
          <w:iCs/>
          <w:color w:val="666666"/>
          <w:sz w:val="20"/>
          <w:szCs w:val="20"/>
        </w:rPr>
        <w:t xml:space="preserve">Color key: Red = High AI replaceability (thin moat), Orange = Medium (moat under pressure), Green = Low (durable moat today).</w:t>
      </w:r>
    </w:p>
    <w:p>
      <w:pPr>
        <w:spacing w:after="160" w:before="0"/>
      </w:pPr>
      <w:r>
        <w:t xml:space="preserve"/>
      </w:r>
    </w:p>
    <w:p>
      <w:pPr>
        <w:pStyle w:val="Heading1"/>
        <w:pBdr>
          <w:bottom w:val="single" w:color="2E5FA3" w:sz="8" w:space="6"/>
        </w:pBdr>
        <w:spacing w:after="160" w:before="400"/>
      </w:pPr>
      <w:r>
        <w:rPr>
          <w:rFonts w:ascii="Arial" w:cs="Arial" w:eastAsia="Arial" w:hAnsi="Arial"/>
          <w:b/>
          <w:bCs/>
          <w:color w:val="1B3A6B"/>
          <w:sz w:val="36"/>
          <w:szCs w:val="36"/>
        </w:rPr>
        <w:t xml:space="preserve">3. Current MOAT Assessment</w:t>
      </w:r>
    </w:p>
    <w:p>
      <w:pPr>
        <w:spacing w:after="120" w:before="80"/>
      </w:pPr>
      <w:r>
        <w:rPr>
          <w:rFonts w:ascii="Arial" w:cs="Arial" w:eastAsia="Arial" w:hAnsi="Arial"/>
          <w:color w:val="1A1A2E"/>
          <w:sz w:val="22"/>
          <w:szCs w:val="22"/>
        </w:rPr>
        <w:t xml:space="preserve">Regula's competitive advantages stack into four layers. Here we assess each honestly:</w:t>
      </w:r>
    </w:p>
    <w:p>
      <w:pPr>
        <w:spacing w:after="80" w:before="0"/>
      </w:pPr>
      <w:r>
        <w:t xml:space="preserve"/>
      </w:r>
    </w:p>
    <w:p>
      <w:pPr>
        <w:pStyle w:val="Heading2"/>
        <w:spacing w:after="120" w:before="300"/>
      </w:pPr>
      <w:r>
        <w:rPr>
          <w:rFonts w:ascii="Arial" w:cs="Arial" w:eastAsia="Arial" w:hAnsi="Arial"/>
          <w:b/>
          <w:bCs/>
          <w:color w:val="2E5FA3"/>
          <w:sz w:val="28"/>
          <w:szCs w:val="28"/>
        </w:rPr>
        <w:t xml:space="preserve">3.1 Infrastructure Moat — The Crawling Engine</w:t>
      </w:r>
    </w:p>
    <w:p>
      <w:pPr>
        <w:spacing w:after="120" w:before="80"/>
      </w:pPr>
      <w:r>
        <w:rPr>
          <w:rFonts w:ascii="Arial" w:cs="Arial" w:eastAsia="Arial" w:hAnsi="Arial"/>
          <w:color w:val="1A1A2E"/>
          <w:sz w:val="22"/>
          <w:szCs w:val="22"/>
        </w:rPr>
        <w:t xml:space="preserve">Regula's most defensible technical asset is its crawling infrastructure. Regulatory portals in emerging markets are notoriously hostile: they frequently change URL structures, use JavaScript-rendered content, require session cookies, and occasionally block bots. Building and maintaining reliable crawlers across SBP, SECP, CBN, and BNM is non-trivial and compounds in value the longer Regula runs.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160"/>
              <w:left w:type="dxa" w:w="200"/>
              <w:bottom w:type="dxa" w:w="160"/>
              <w:right w:type="dxa" w:w="200"/>
            </w:tcMar>
          </w:tcPr>
          <w:p>
            <w:pPr>
              <w:spacing w:after="60" w:before="0"/>
            </w:pPr>
            <w:r>
              <w:rPr>
                <w:rFonts w:ascii="Arial" w:cs="Arial" w:eastAsia="Arial" w:hAnsi="Arial"/>
                <w:b/>
                <w:bCs/>
                <w:color w:val="856404"/>
                <w:sz w:val="22"/>
                <w:szCs w:val="22"/>
              </w:rPr>
              <w:t xml:space="preserve">Moat Strength: MODERATE</w:t>
            </w:r>
          </w:p>
          <w:p>
            <w:pPr>
              <w:spacing w:after="0" w:before="0"/>
            </w:pPr>
            <w:r>
              <w:rPr>
                <w:rFonts w:ascii="Arial" w:cs="Arial" w:eastAsia="Arial" w:hAnsi="Arial"/>
                <w:color w:val="1A1A2E"/>
                <w:sz w:val="21"/>
                <w:szCs w:val="21"/>
              </w:rPr>
              <w:t xml:space="preserve">A technically competent team using Playwright + cron jobs could replicate basic crawling in 2-4 weeks. However, Regula's battle-tested reliability against real-world portal quirks — and the historical archive built up over time — provides a 6-18 month head-start that compounds. The moat weakens rapidly if AI browser-use agents mature (Anthropic's Computer Use, OpenAI's Operator) because they can handle arbitrary web UI without custom scraping code.</w:t>
            </w:r>
          </w:p>
        </w:tc>
      </w:tr>
    </w:tbl>
    <w:p>
      <w:pPr>
        <w:spacing w:after="160" w:before="0"/>
      </w:pPr>
      <w:r>
        <w:t xml:space="preserve"/>
      </w:r>
    </w:p>
    <w:p>
      <w:pPr>
        <w:pStyle w:val="Heading2"/>
        <w:spacing w:after="120" w:before="300"/>
      </w:pPr>
      <w:r>
        <w:rPr>
          <w:rFonts w:ascii="Arial" w:cs="Arial" w:eastAsia="Arial" w:hAnsi="Arial"/>
          <w:b/>
          <w:bCs/>
          <w:color w:val="2E5FA3"/>
          <w:sz w:val="28"/>
          <w:szCs w:val="28"/>
        </w:rPr>
        <w:t xml:space="preserve">3.2 Data Moat — Versioned Regulatory Archive</w:t>
      </w:r>
    </w:p>
    <w:p>
      <w:pPr>
        <w:spacing w:after="120" w:before="80"/>
      </w:pPr>
      <w:r>
        <w:rPr>
          <w:rFonts w:ascii="Arial" w:cs="Arial" w:eastAsia="Arial" w:hAnsi="Arial"/>
          <w:color w:val="1A1A2E"/>
          <w:sz w:val="22"/>
          <w:szCs w:val="22"/>
        </w:rPr>
        <w:t xml:space="preserve">Every version of every monitored circular, guideline, and notice Regula has ever crawled is stored and queryable. This historical archive cannot be instantly replicated. A user asking 'how has SBP's data retention requirement changed since 2022?' gets an answer from Regula's database instantly — an AI without persistent storage must re-crawl or work from training data, which is stale.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7" w:val="clear"/>
            <w:tcMar>
              <w:top w:type="dxa" w:w="160"/>
              <w:left w:type="dxa" w:w="200"/>
              <w:bottom w:type="dxa" w:w="160"/>
              <w:right w:type="dxa" w:w="200"/>
            </w:tcMar>
          </w:tcPr>
          <w:p>
            <w:pPr>
              <w:spacing w:after="60" w:before="0"/>
            </w:pPr>
            <w:r>
              <w:rPr>
                <w:rFonts w:ascii="Arial" w:cs="Arial" w:eastAsia="Arial" w:hAnsi="Arial"/>
                <w:b/>
                <w:bCs/>
                <w:color w:val="1B3A6B"/>
                <w:sz w:val="22"/>
                <w:szCs w:val="22"/>
              </w:rPr>
              <w:t xml:space="preserve">Moat Strength: STRONG (but time-bounded)</w:t>
            </w:r>
          </w:p>
          <w:p>
            <w:pPr>
              <w:spacing w:after="0" w:before="0"/>
            </w:pPr>
            <w:r>
              <w:rPr>
                <w:rFonts w:ascii="Arial" w:cs="Arial" w:eastAsia="Arial" w:hAnsi="Arial"/>
                <w:color w:val="1A1A2E"/>
                <w:sz w:val="21"/>
                <w:szCs w:val="21"/>
              </w:rPr>
              <w:t xml:space="preserve">This is Regula's clearest data-network-effect moat. The archive grows more valuable with every passing month. The risk: if a well-funded competitor (or a government-backed RegTech) starts crawling the same sources, they close this gap in 12-24 months. Regula must make the archive itself a product — queryable, exportable, and audit-ready — not just a backend.</w:t>
            </w:r>
          </w:p>
        </w:tc>
      </w:tr>
    </w:tbl>
    <w:p>
      <w:pPr>
        <w:spacing w:after="160" w:before="0"/>
      </w:pPr>
      <w:r>
        <w:t xml:space="preserve"/>
      </w:r>
    </w:p>
    <w:p>
      <w:pPr>
        <w:pStyle w:val="Heading2"/>
        <w:spacing w:after="120" w:before="300"/>
      </w:pPr>
      <w:r>
        <w:rPr>
          <w:rFonts w:ascii="Arial" w:cs="Arial" w:eastAsia="Arial" w:hAnsi="Arial"/>
          <w:b/>
          <w:bCs/>
          <w:color w:val="2E5FA3"/>
          <w:sz w:val="28"/>
          <w:szCs w:val="28"/>
        </w:rPr>
        <w:t xml:space="preserve">3.3 Workflow Moat — Team Operations Integration</w:t>
      </w:r>
    </w:p>
    <w:p>
      <w:pPr>
        <w:spacing w:after="120" w:before="80"/>
      </w:pPr>
      <w:r>
        <w:rPr>
          <w:rFonts w:ascii="Arial" w:cs="Arial" w:eastAsia="Arial" w:hAnsi="Arial"/>
          <w:color w:val="1A1A2E"/>
          <w:sz w:val="22"/>
          <w:szCs w:val="22"/>
        </w:rPr>
        <w:t xml:space="preserve">This is Regula's strongest and most AI-proof moat. No general-purpose AI assistant offers: multi-user triage queues, assignment threads, snooze-and-recall, lifecycle state management (open → assigned → resolved), comment threads attached to specific regulatory change events, and org-level audit logs. These are features of an operations system, not a chatbot.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7" w:val="clear"/>
            <w:tcMar>
              <w:top w:type="dxa" w:w="160"/>
              <w:left w:type="dxa" w:w="200"/>
              <w:bottom w:type="dxa" w:w="160"/>
              <w:right w:type="dxa" w:w="200"/>
            </w:tcMar>
          </w:tcPr>
          <w:p>
            <w:pPr>
              <w:spacing w:after="60" w:before="0"/>
            </w:pPr>
            <w:r>
              <w:rPr>
                <w:rFonts w:ascii="Arial" w:cs="Arial" w:eastAsia="Arial" w:hAnsi="Arial"/>
                <w:b/>
                <w:bCs/>
                <w:color w:val="1B3A6B"/>
                <w:sz w:val="22"/>
                <w:szCs w:val="22"/>
              </w:rPr>
              <w:t xml:space="preserve">Moat Strength: STRONG (for now)</w:t>
            </w:r>
          </w:p>
          <w:p>
            <w:pPr>
              <w:spacing w:after="0" w:before="0"/>
            </w:pPr>
            <w:r>
              <w:rPr>
                <w:rFonts w:ascii="Arial" w:cs="Arial" w:eastAsia="Arial" w:hAnsi="Arial"/>
                <w:color w:val="1A1A2E"/>
                <w:sz w:val="21"/>
                <w:szCs w:val="21"/>
              </w:rPr>
              <w:t xml:space="preserve">The workflow moat holds as long as AI agents remain single-user and session-based. The risk emerges when AI-native project management tools (e.g., Notion AI, Linear AI, or a hypothetical 'Compliance Copilot') integrate regulatory monitoring natively. Regula has an 18-24 month window to deepen this moat by becoming the system of record, not just an alert tool.</w:t>
            </w:r>
          </w:p>
        </w:tc>
      </w:tr>
    </w:tbl>
    <w:p>
      <w:pPr>
        <w:spacing w:after="160" w:before="0"/>
      </w:pPr>
      <w:r>
        <w:t xml:space="preserve"/>
      </w:r>
    </w:p>
    <w:p>
      <w:pPr>
        <w:pStyle w:val="Heading2"/>
        <w:spacing w:after="120" w:before="300"/>
      </w:pPr>
      <w:r>
        <w:rPr>
          <w:rFonts w:ascii="Arial" w:cs="Arial" w:eastAsia="Arial" w:hAnsi="Arial"/>
          <w:b/>
          <w:bCs/>
          <w:color w:val="2E5FA3"/>
          <w:sz w:val="28"/>
          <w:szCs w:val="28"/>
        </w:rPr>
        <w:t xml:space="preserve">3.4 Market Moat — Emerging-Market Focus</w:t>
      </w:r>
    </w:p>
    <w:p>
      <w:pPr>
        <w:spacing w:after="120" w:before="80"/>
      </w:pPr>
      <w:r>
        <w:rPr>
          <w:rFonts w:ascii="Arial" w:cs="Arial" w:eastAsia="Arial" w:hAnsi="Arial"/>
          <w:color w:val="1A1A2E"/>
          <w:sz w:val="22"/>
          <w:szCs w:val="22"/>
        </w:rPr>
        <w:t xml:space="preserve">Regula's focus on SBP, SECP, CBN, and BNM is a strategic differentiator. General AI models have weak coverage of these sources — SBP circulars are not well-indexed in training data, CBN portal structures are non-standard, and Malaysian BNM guidance documents often require navigating complex portals. This is a niche where depth beats general capability.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7" w:val="clear"/>
            <w:tcMar>
              <w:top w:type="dxa" w:w="160"/>
              <w:left w:type="dxa" w:w="200"/>
              <w:bottom w:type="dxa" w:w="160"/>
              <w:right w:type="dxa" w:w="200"/>
            </w:tcMar>
          </w:tcPr>
          <w:p>
            <w:pPr>
              <w:spacing w:after="60" w:before="0"/>
            </w:pPr>
            <w:r>
              <w:rPr>
                <w:rFonts w:ascii="Arial" w:cs="Arial" w:eastAsia="Arial" w:hAnsi="Arial"/>
                <w:b/>
                <w:bCs/>
                <w:color w:val="1B3A6B"/>
                <w:sz w:val="22"/>
                <w:szCs w:val="22"/>
              </w:rPr>
              <w:t xml:space="preserve">Moat Strength: MODERATE-STRONG</w:t>
            </w:r>
          </w:p>
          <w:p>
            <w:pPr>
              <w:spacing w:after="0" w:before="0"/>
            </w:pPr>
            <w:r>
              <w:rPr>
                <w:rFonts w:ascii="Arial" w:cs="Arial" w:eastAsia="Arial" w:hAnsi="Arial"/>
                <w:color w:val="1A1A2E"/>
                <w:sz w:val="21"/>
                <w:szCs w:val="21"/>
              </w:rPr>
              <w:t xml:space="preserve">The emerging-market focus is a real differentiator today. The risk: as AI training data expands and browser-use agents become universal, geographic specificity alone won't hold. Regula needs to convert geographic focus into relationship moats — becoming the trusted compliance partner for FinTech associations, banking groups, and regulatory liaisons in Pakistan, Nigeria, and Malaysia.</w:t>
            </w:r>
          </w:p>
        </w:tc>
      </w:tr>
    </w:tbl>
    <w:p>
      <w:pPr>
        <w:spacing w:after="160" w:before="0"/>
      </w:pPr>
      <w:r>
        <w:t xml:space="preserve"/>
      </w:r>
    </w:p>
    <w:p>
      <w:pPr>
        <w:pStyle w:val="Heading1"/>
        <w:pBdr>
          <w:bottom w:val="single" w:color="2E5FA3" w:sz="8" w:space="6"/>
        </w:pBdr>
        <w:spacing w:after="160" w:before="400"/>
      </w:pPr>
      <w:r>
        <w:rPr>
          <w:rFonts w:ascii="Arial" w:cs="Arial" w:eastAsia="Arial" w:hAnsi="Arial"/>
          <w:b/>
          <w:bCs/>
          <w:color w:val="1B3A6B"/>
          <w:sz w:val="36"/>
          <w:szCs w:val="36"/>
        </w:rPr>
        <w:t xml:space="preserve">4. The 12-Month Threat Horizon — What AI Will Replace</w:t>
      </w:r>
    </w:p>
    <w:p>
      <w:pPr>
        <w:spacing w:after="120" w:before="80"/>
      </w:pPr>
      <w:r>
        <w:rPr>
          <w:rFonts w:ascii="Arial" w:cs="Arial" w:eastAsia="Arial" w:hAnsi="Arial"/>
          <w:color w:val="1A1A2E"/>
          <w:sz w:val="22"/>
          <w:szCs w:val="22"/>
        </w:rPr>
        <w:t xml:space="preserve">Based on the trajectory of AI agent development in 2025-2026, the following capabilities are likely to become commoditised within 12 months, directly threatening Regula's thinner moats:</w:t>
      </w:r>
    </w:p>
    <w:p>
      <w:pPr>
        <w:spacing w:after="80" w:before="0"/>
      </w:pPr>
      <w:r>
        <w:t xml:space="preserve"/>
      </w:r>
    </w:p>
    <w:p>
      <w:pPr>
        <w:pStyle w:val="Heading3"/>
        <w:spacing w:after="80" w:before="200"/>
      </w:pPr>
      <w:r>
        <w:rPr>
          <w:rFonts w:ascii="Arial" w:cs="Arial" w:eastAsia="Arial" w:hAnsi="Arial"/>
          <w:b/>
          <w:bCs/>
          <w:color w:val="1B3A6B"/>
          <w:sz w:val="24"/>
          <w:szCs w:val="24"/>
        </w:rPr>
        <w:t xml:space="preserve">4.1 Ad-Hoc Regulatory Research</w:t>
      </w:r>
    </w:p>
    <w:p>
      <w:pPr>
        <w:spacing w:after="120" w:before="80"/>
      </w:pPr>
      <w:r>
        <w:rPr>
          <w:rFonts w:ascii="Arial" w:cs="Arial" w:eastAsia="Arial" w:hAnsi="Arial"/>
          <w:color w:val="1A1A2E"/>
          <w:sz w:val="22"/>
          <w:szCs w:val="22"/>
        </w:rPr>
        <w:t xml:space="preserve">A user asking 'summarise the latest SBP circular on digital banking' will get an excellent answer from any frontier AI model with web search. Regula's value-add for one-off queries is near zero against a motivated user with ChatGPT or Claude.</w:t>
      </w:r>
    </w:p>
    <w:p>
      <w:pPr>
        <w:spacing w:after="60" w:before="0"/>
      </w:pPr>
      <w:r>
        <w:t xml:space="preserve"/>
      </w:r>
    </w:p>
    <w:p>
      <w:pPr>
        <w:pStyle w:val="Heading3"/>
        <w:spacing w:after="80" w:before="200"/>
      </w:pPr>
      <w:r>
        <w:rPr>
          <w:rFonts w:ascii="Arial" w:cs="Arial" w:eastAsia="Arial" w:hAnsi="Arial"/>
          <w:b/>
          <w:bCs/>
          <w:color w:val="1B3A6B"/>
          <w:sz w:val="24"/>
          <w:szCs w:val="24"/>
        </w:rPr>
        <w:t xml:space="preserve">4.2 Basic Change Detection</w:t>
      </w:r>
    </w:p>
    <w:p>
      <w:pPr>
        <w:spacing w:after="120" w:before="80"/>
      </w:pPr>
      <w:r>
        <w:rPr>
          <w:rFonts w:ascii="Arial" w:cs="Arial" w:eastAsia="Arial" w:hAnsi="Arial"/>
          <w:color w:val="1A1A2E"/>
          <w:sz w:val="22"/>
          <w:szCs w:val="22"/>
        </w:rPr>
        <w:t xml:space="preserve">Open-source tools like Distill.io, Wachete, and custom Python scripts already handle basic page monitoring. As AI agents become capable of writing, deploying, and running their own monitoring scripts, the barrier to replicating Regula's core crawler drops significantly.</w:t>
      </w:r>
    </w:p>
    <w:p>
      <w:pPr>
        <w:spacing w:after="60" w:before="0"/>
      </w:pPr>
      <w:r>
        <w:t xml:space="preserve"/>
      </w:r>
    </w:p>
    <w:p>
      <w:pPr>
        <w:pStyle w:val="Heading3"/>
        <w:spacing w:after="80" w:before="200"/>
      </w:pPr>
      <w:r>
        <w:rPr>
          <w:rFonts w:ascii="Arial" w:cs="Arial" w:eastAsia="Arial" w:hAnsi="Arial"/>
          <w:b/>
          <w:bCs/>
          <w:color w:val="1B3A6B"/>
          <w:sz w:val="24"/>
          <w:szCs w:val="24"/>
        </w:rPr>
        <w:t xml:space="preserve">4.3 Single-User Summarisation Workflows</w:t>
      </w:r>
    </w:p>
    <w:p>
      <w:pPr>
        <w:spacing w:after="120" w:before="80"/>
      </w:pPr>
      <w:r>
        <w:rPr>
          <w:rFonts w:ascii="Arial" w:cs="Arial" w:eastAsia="Arial" w:hAnsi="Arial"/>
          <w:color w:val="1A1A2E"/>
          <w:sz w:val="22"/>
          <w:szCs w:val="22"/>
        </w:rPr>
        <w:t xml:space="preserve">A solo compliance analyst at a startup can use Claude Projects with custom instructions to monitor a handful of regulatory sources quasi-manually. This covers the Free and lower Starter tier use case almost entirely.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160"/>
              <w:left w:type="dxa" w:w="200"/>
              <w:bottom w:type="dxa" w:w="160"/>
              <w:right w:type="dxa" w:w="200"/>
            </w:tcMar>
          </w:tcPr>
          <w:p>
            <w:pPr>
              <w:spacing w:after="60" w:before="0"/>
            </w:pPr>
            <w:r>
              <w:rPr>
                <w:rFonts w:ascii="Arial" w:cs="Arial" w:eastAsia="Arial" w:hAnsi="Arial"/>
                <w:b/>
                <w:bCs/>
                <w:color w:val="856404"/>
                <w:sz w:val="22"/>
                <w:szCs w:val="22"/>
              </w:rPr>
              <w:t xml:space="preserve">Critical Insight</w:t>
            </w:r>
          </w:p>
          <w:p>
            <w:pPr>
              <w:spacing w:after="0" w:before="0"/>
            </w:pPr>
            <w:r>
              <w:rPr>
                <w:rFonts w:ascii="Arial" w:cs="Arial" w:eastAsia="Arial" w:hAnsi="Arial"/>
                <w:color w:val="1A1A2E"/>
                <w:sz w:val="21"/>
                <w:szCs w:val="21"/>
              </w:rPr>
              <w:t xml:space="preserve">Regula's Free tier (3 targets, daily crawls) is almost entirely replaceable by AI today. The paid tier value — team workflows, audit logs, hourly crawls, retention — is what must be defended and deepened. Free should be treated as a loss-leader for workflow adoption, not a standalone product.</w:t>
            </w:r>
          </w:p>
        </w:tc>
      </w:tr>
    </w:tbl>
    <w:p>
      <w:pPr>
        <w:spacing w:after="160" w:before="0"/>
      </w:pPr>
      <w:r>
        <w:t xml:space="preserve"/>
      </w:r>
    </w:p>
    <w:p>
      <w:pPr>
        <w:pStyle w:val="Heading1"/>
        <w:pBdr>
          <w:bottom w:val="single" w:color="2E5FA3" w:sz="8" w:space="6"/>
        </w:pBdr>
        <w:spacing w:after="160" w:before="400"/>
      </w:pPr>
      <w:r>
        <w:rPr>
          <w:rFonts w:ascii="Arial" w:cs="Arial" w:eastAsia="Arial" w:hAnsi="Arial"/>
          <w:b/>
          <w:bCs/>
          <w:color w:val="1B3A6B"/>
          <w:sz w:val="36"/>
          <w:szCs w:val="36"/>
        </w:rPr>
        <w:t xml:space="preserve">5. The Survival Playbook — 10 Strategies to Defend Regula Forever</w:t>
      </w:r>
    </w:p>
    <w:p>
      <w:pPr>
        <w:spacing w:after="120" w:before="80"/>
      </w:pPr>
      <w:r>
        <w:rPr>
          <w:rFonts w:ascii="Arial" w:cs="Arial" w:eastAsia="Arial" w:hAnsi="Arial"/>
          <w:color w:val="1A1A2E"/>
          <w:sz w:val="22"/>
          <w:szCs w:val="22"/>
        </w:rPr>
        <w:t xml:space="preserve">This section provides a ranked, actionable playbook for hardening Regula's moat against AI disruption. Strategies are ordered by urgency and impact.</w:t>
      </w:r>
    </w:p>
    <w:p>
      <w:pPr>
        <w:spacing w:after="80" w:before="0"/>
      </w:pPr>
      <w:r>
        <w:t xml:space="preserve"/>
      </w:r>
    </w:p>
    <w:p>
      <w:pPr>
        <w:pStyle w:val="Heading2"/>
        <w:spacing w:after="120" w:before="300"/>
      </w:pPr>
      <w:r>
        <w:rPr>
          <w:rFonts w:ascii="Arial" w:cs="Arial" w:eastAsia="Arial" w:hAnsi="Arial"/>
          <w:b/>
          <w:bCs/>
          <w:color w:val="2E5FA3"/>
          <w:sz w:val="28"/>
          <w:szCs w:val="28"/>
        </w:rPr>
        <w:t xml:space="preserve">Strategy 1 — Become the System of Record, Not the Alert Tool  [URGENT]</w:t>
      </w:r>
    </w:p>
    <w:p>
      <w:pPr>
        <w:spacing w:after="120" w:before="80"/>
      </w:pPr>
      <w:r>
        <w:rPr>
          <w:rFonts w:ascii="Arial" w:cs="Arial" w:eastAsia="Arial" w:hAnsi="Arial"/>
          <w:color w:val="1A1A2E"/>
          <w:sz w:val="22"/>
          <w:szCs w:val="22"/>
        </w:rPr>
        <w:t xml:space="preserve">The single most important strategic pivot Regula can make is positioning itself as a compliance system of record rather than a monitoring alert service. When a regulator audits a FinTech, they want to see: when did you know about this circular? who reviewed it? what action did you take? Regula must own that paper trail.</w:t>
      </w:r>
    </w:p>
    <w:p>
      <w:pPr>
        <w:spacing w:after="60" w:before="0"/>
      </w:pPr>
      <w:r>
        <w:t xml:space="preserve"/>
      </w:r>
    </w:p>
    <w:p>
      <w:pPr>
        <w:spacing w:after="120" w:before="80"/>
      </w:pPr>
      <w:r>
        <w:rPr>
          <w:rFonts w:ascii="Arial" w:cs="Arial" w:eastAsia="Arial" w:hAnsi="Arial"/>
          <w:color w:val="1A1A2E"/>
          <w:sz w:val="22"/>
          <w:szCs w:val="22"/>
        </w:rPr>
        <w:t xml:space="preserve">Concrete actions:</w:t>
      </w:r>
    </w:p>
    <w:p>
      <w:pPr>
        <w:pStyle w:val="ListParagraph"/>
        <w:numPr>
          <w:ilvl w:val="0"/>
          <w:numId w:val="2"/>
        </w:numPr>
        <w:spacing w:after="60" w:before="60"/>
      </w:pPr>
      <w:r>
        <w:rPr>
          <w:rFonts w:ascii="Arial" w:cs="Arial" w:eastAsia="Arial" w:hAnsi="Arial"/>
          <w:color w:val="1A1A2E"/>
          <w:sz w:val="22"/>
          <w:szCs w:val="22"/>
        </w:rPr>
        <w:t xml:space="preserve">Add a 'Compliance Evidence Vault' feature — attach internal policy updates, board approvals, and sign-off documents to regulatory change events.</w:t>
      </w:r>
    </w:p>
    <w:p>
      <w:pPr>
        <w:pStyle w:val="ListParagraph"/>
        <w:numPr>
          <w:ilvl w:val="0"/>
          <w:numId w:val="2"/>
        </w:numPr>
        <w:spacing w:after="60" w:before="60"/>
      </w:pPr>
      <w:r>
        <w:rPr>
          <w:rFonts w:ascii="Arial" w:cs="Arial" w:eastAsia="Arial" w:hAnsi="Arial"/>
          <w:color w:val="1A1A2E"/>
          <w:sz w:val="22"/>
          <w:szCs w:val="22"/>
        </w:rPr>
        <w:t xml:space="preserve">Generate audit-ready reports in one click: 'Compliance Activity Report for Q1 2026' showing all changes reviewed, who acted, and what decisions were made.</w:t>
      </w:r>
    </w:p>
    <w:p>
      <w:pPr>
        <w:pStyle w:val="ListParagraph"/>
        <w:numPr>
          <w:ilvl w:val="0"/>
          <w:numId w:val="2"/>
        </w:numPr>
        <w:spacing w:after="60" w:before="60"/>
      </w:pPr>
      <w:r>
        <w:rPr>
          <w:rFonts w:ascii="Arial" w:cs="Arial" w:eastAsia="Arial" w:hAnsi="Arial"/>
          <w:color w:val="1A1A2E"/>
          <w:sz w:val="22"/>
          <w:szCs w:val="22"/>
        </w:rPr>
        <w:t xml:space="preserve">Offer digital signature integration (DocuSign, Adobe Sign) so sign-offs are cryptographically timestamped inside Regula.</w:t>
      </w:r>
    </w:p>
    <w:p>
      <w:pPr>
        <w:pStyle w:val="ListParagraph"/>
        <w:numPr>
          <w:ilvl w:val="0"/>
          <w:numId w:val="2"/>
        </w:numPr>
        <w:spacing w:after="60" w:before="60"/>
      </w:pPr>
      <w:r>
        <w:rPr>
          <w:rFonts w:ascii="Arial" w:cs="Arial" w:eastAsia="Arial" w:hAnsi="Arial"/>
          <w:color w:val="1A1A2E"/>
          <w:sz w:val="22"/>
          <w:szCs w:val="22"/>
        </w:rPr>
        <w:t xml:space="preserve">Position with tagline: 'Your regulator will ask. Regula has the answer.'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7" w:val="clear"/>
            <w:tcMar>
              <w:top w:type="dxa" w:w="160"/>
              <w:left w:type="dxa" w:w="200"/>
              <w:bottom w:type="dxa" w:w="160"/>
              <w:right w:type="dxa" w:w="200"/>
            </w:tcMar>
          </w:tcPr>
          <w:p>
            <w:pPr>
              <w:spacing w:after="60" w:before="0"/>
            </w:pPr>
            <w:r>
              <w:rPr>
                <w:rFonts w:ascii="Arial" w:cs="Arial" w:eastAsia="Arial" w:hAnsi="Arial"/>
                <w:b/>
                <w:bCs/>
                <w:color w:val="1B3A6B"/>
                <w:sz w:val="22"/>
                <w:szCs w:val="22"/>
              </w:rPr>
              <w:t xml:space="preserve">Why This Is AI-Proof</w:t>
            </w:r>
          </w:p>
          <w:p>
            <w:pPr>
              <w:spacing w:after="0" w:before="0"/>
            </w:pPr>
            <w:r>
              <w:rPr>
                <w:rFonts w:ascii="Arial" w:cs="Arial" w:eastAsia="Arial" w:hAnsi="Arial"/>
                <w:color w:val="1A1A2E"/>
                <w:sz w:val="21"/>
                <w:szCs w:val="21"/>
              </w:rPr>
              <w:t xml:space="preserve">No AI assistant can provide a legally defensible, multi-person audit trail with timestamps, role logs, and document attachments. This creates switching costs that compound over years of usage — the longer a team uses Regula, the more irreplaceable its archive becomes.</w:t>
            </w:r>
          </w:p>
        </w:tc>
      </w:tr>
    </w:tbl>
    <w:p>
      <w:pPr>
        <w:spacing w:after="160" w:before="0"/>
      </w:pPr>
      <w:r>
        <w:t xml:space="preserve"/>
      </w:r>
    </w:p>
    <w:p>
      <w:pPr>
        <w:pStyle w:val="Heading2"/>
        <w:spacing w:after="120" w:before="300"/>
      </w:pPr>
      <w:r>
        <w:rPr>
          <w:rFonts w:ascii="Arial" w:cs="Arial" w:eastAsia="Arial" w:hAnsi="Arial"/>
          <w:b/>
          <w:bCs/>
          <w:color w:val="2E5FA3"/>
          <w:sz w:val="28"/>
          <w:szCs w:val="28"/>
        </w:rPr>
        <w:t xml:space="preserve">Strategy 2 — Build Proprietary Regulatory Relationships  [URGENT]</w:t>
      </w:r>
    </w:p>
    <w:p>
      <w:pPr>
        <w:spacing w:after="120" w:before="80"/>
      </w:pPr>
      <w:r>
        <w:rPr>
          <w:rFonts w:ascii="Arial" w:cs="Arial" w:eastAsia="Arial" w:hAnsi="Arial"/>
          <w:color w:val="1A1A2E"/>
          <w:sz w:val="22"/>
          <w:szCs w:val="22"/>
        </w:rPr>
        <w:t xml:space="preserve">Regula's crawling approach is reactive — it waits for regulators to publish, then detects changes. A moat-hardening move is to become a primary channel: get regulatory bodies themselves to push updates into Regula first.</w:t>
      </w:r>
    </w:p>
    <w:p>
      <w:pPr>
        <w:spacing w:after="6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Partner with SBP's FinTech regulatory sandbox program to become an official compliance monitoring partner.</w:t>
      </w:r>
    </w:p>
    <w:p>
      <w:pPr>
        <w:pStyle w:val="ListParagraph"/>
        <w:numPr>
          <w:ilvl w:val="0"/>
          <w:numId w:val="2"/>
        </w:numPr>
        <w:spacing w:after="60" w:before="60"/>
      </w:pPr>
      <w:r>
        <w:rPr>
          <w:rFonts w:ascii="Arial" w:cs="Arial" w:eastAsia="Arial" w:hAnsi="Arial"/>
          <w:color w:val="1A1A2E"/>
          <w:sz w:val="22"/>
          <w:szCs w:val="22"/>
        </w:rPr>
        <w:t xml:space="preserve">Integrate with SECP's API (if/when available) for real-time regulatory feeds — not scraped HTML.</w:t>
      </w:r>
    </w:p>
    <w:p>
      <w:pPr>
        <w:pStyle w:val="ListParagraph"/>
        <w:numPr>
          <w:ilvl w:val="0"/>
          <w:numId w:val="2"/>
        </w:numPr>
        <w:spacing w:after="60" w:before="60"/>
      </w:pPr>
      <w:r>
        <w:rPr>
          <w:rFonts w:ascii="Arial" w:cs="Arial" w:eastAsia="Arial" w:hAnsi="Arial"/>
          <w:color w:val="1A1A2E"/>
          <w:sz w:val="22"/>
          <w:szCs w:val="22"/>
        </w:rPr>
        <w:t xml:space="preserve">Negotiate early-access feeds from regulatory bodies in exchange for providing them aggregate compliance analytics.</w:t>
      </w:r>
    </w:p>
    <w:p>
      <w:pPr>
        <w:pStyle w:val="ListParagraph"/>
        <w:numPr>
          <w:ilvl w:val="0"/>
          <w:numId w:val="2"/>
        </w:numPr>
        <w:spacing w:after="60" w:before="60"/>
      </w:pPr>
      <w:r>
        <w:rPr>
          <w:rFonts w:ascii="Arial" w:cs="Arial" w:eastAsia="Arial" w:hAnsi="Arial"/>
          <w:color w:val="1A1A2E"/>
          <w:sz w:val="22"/>
          <w:szCs w:val="22"/>
        </w:rPr>
        <w:t xml:space="preserve">Publish a 'Pakistan FinTech Regulatory Index' — a monthly public report on regulatory activity — to build media profile and signal authority.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7" w:val="clear"/>
            <w:tcMar>
              <w:top w:type="dxa" w:w="160"/>
              <w:left w:type="dxa" w:w="200"/>
              <w:bottom w:type="dxa" w:w="160"/>
              <w:right w:type="dxa" w:w="200"/>
            </w:tcMar>
          </w:tcPr>
          <w:p>
            <w:pPr>
              <w:spacing w:after="60" w:before="0"/>
            </w:pPr>
            <w:r>
              <w:rPr>
                <w:rFonts w:ascii="Arial" w:cs="Arial" w:eastAsia="Arial" w:hAnsi="Arial"/>
                <w:b/>
                <w:bCs/>
                <w:color w:val="1B3A6B"/>
                <w:sz w:val="22"/>
                <w:szCs w:val="22"/>
              </w:rPr>
              <w:t xml:space="preserve">Why This Is AI-Proof</w:t>
            </w:r>
          </w:p>
          <w:p>
            <w:pPr>
              <w:spacing w:after="0" w:before="0"/>
            </w:pPr>
            <w:r>
              <w:rPr>
                <w:rFonts w:ascii="Arial" w:cs="Arial" w:eastAsia="Arial" w:hAnsi="Arial"/>
                <w:color w:val="1A1A2E"/>
                <w:sz w:val="21"/>
                <w:szCs w:val="21"/>
              </w:rPr>
              <w:t xml:space="preserve">An AI can read a published circular. It cannot be the first receiver of a pre-publication draft, have an API key from SBP, or be cited in SECP's compliance partner directory. Institutional relationships create barriers no model can cross.</w:t>
            </w:r>
          </w:p>
        </w:tc>
      </w:tr>
    </w:tbl>
    <w:p>
      <w:pPr>
        <w:spacing w:after="160" w:before="0"/>
      </w:pPr>
      <w:r>
        <w:t xml:space="preserve"/>
      </w:r>
    </w:p>
    <w:p>
      <w:pPr>
        <w:pStyle w:val="Heading2"/>
        <w:spacing w:after="120" w:before="300"/>
      </w:pPr>
      <w:r>
        <w:rPr>
          <w:rFonts w:ascii="Arial" w:cs="Arial" w:eastAsia="Arial" w:hAnsi="Arial"/>
          <w:b/>
          <w:bCs/>
          <w:color w:val="2E5FA3"/>
          <w:sz w:val="28"/>
          <w:szCs w:val="28"/>
        </w:rPr>
        <w:t xml:space="preserve">Strategy 3 — Launch AI-Augmented Regulatory Intelligence  [HIGH PRIORITY]</w:t>
      </w:r>
    </w:p>
    <w:p>
      <w:pPr>
        <w:spacing w:after="120" w:before="80"/>
      </w:pPr>
      <w:r>
        <w:rPr>
          <w:rFonts w:ascii="Arial" w:cs="Arial" w:eastAsia="Arial" w:hAnsi="Arial"/>
          <w:color w:val="1A1A2E"/>
          <w:sz w:val="22"/>
          <w:szCs w:val="22"/>
        </w:rPr>
        <w:t xml:space="preserve">Rather than fearing AI, Regula should go further with AI than any generic tool can — building regulatory intelligence features that require the proprietary data layer Regula alone has.</w:t>
      </w:r>
    </w:p>
    <w:p>
      <w:pPr>
        <w:spacing w:after="6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'Regulatory Trend Radar' — AI analysis of 6-month rolling trends across all monitored sources, identifying emerging regulatory themes before they become mandatory.</w:t>
      </w:r>
    </w:p>
    <w:p>
      <w:pPr>
        <w:pStyle w:val="ListParagraph"/>
        <w:numPr>
          <w:ilvl w:val="0"/>
          <w:numId w:val="2"/>
        </w:numPr>
        <w:spacing w:after="60" w:before="60"/>
      </w:pPr>
      <w:r>
        <w:rPr>
          <w:rFonts w:ascii="Arial" w:cs="Arial" w:eastAsia="Arial" w:hAnsi="Arial"/>
          <w:color w:val="1A1A2E"/>
          <w:sz w:val="22"/>
          <w:szCs w:val="22"/>
        </w:rPr>
        <w:t xml:space="preserve">'Peer Benchmark' — anonymised aggregate data on how similar FinTechs (same license type, similar AUM) respond to the same regulatory changes.</w:t>
      </w:r>
    </w:p>
    <w:p>
      <w:pPr>
        <w:pStyle w:val="ListParagraph"/>
        <w:numPr>
          <w:ilvl w:val="0"/>
          <w:numId w:val="2"/>
        </w:numPr>
        <w:spacing w:after="60" w:before="60"/>
      </w:pPr>
      <w:r>
        <w:rPr>
          <w:rFonts w:ascii="Arial" w:cs="Arial" w:eastAsia="Arial" w:hAnsi="Arial"/>
          <w:color w:val="1A1A2E"/>
          <w:sz w:val="22"/>
          <w:szCs w:val="22"/>
        </w:rPr>
        <w:t xml:space="preserve">'Regulatory Gap Analysis' — AI that cross-references a company's submitted compliance documentation against new circulars to identify gaps automatically.</w:t>
      </w:r>
    </w:p>
    <w:p>
      <w:pPr>
        <w:pStyle w:val="ListParagraph"/>
        <w:numPr>
          <w:ilvl w:val="0"/>
          <w:numId w:val="2"/>
        </w:numPr>
        <w:spacing w:after="60" w:before="60"/>
      </w:pPr>
      <w:r>
        <w:rPr>
          <w:rFonts w:ascii="Arial" w:cs="Arial" w:eastAsia="Arial" w:hAnsi="Arial"/>
          <w:color w:val="1A1A2E"/>
          <w:sz w:val="22"/>
          <w:szCs w:val="22"/>
        </w:rPr>
        <w:t xml:space="preserve">'Predicted Impact Scoring' — ML model trained on historical regulatory changes and their actual business impact, not just LLM inference from raw text.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7" w:val="clear"/>
            <w:tcMar>
              <w:top w:type="dxa" w:w="160"/>
              <w:left w:type="dxa" w:w="200"/>
              <w:bottom w:type="dxa" w:w="160"/>
              <w:right w:type="dxa" w:w="200"/>
            </w:tcMar>
          </w:tcPr>
          <w:p>
            <w:pPr>
              <w:spacing w:after="60" w:before="0"/>
            </w:pPr>
            <w:r>
              <w:rPr>
                <w:rFonts w:ascii="Arial" w:cs="Arial" w:eastAsia="Arial" w:hAnsi="Arial"/>
                <w:b/>
                <w:bCs/>
                <w:color w:val="1B3A6B"/>
                <w:sz w:val="22"/>
                <w:szCs w:val="22"/>
              </w:rPr>
              <w:t xml:space="preserve">Why This Is AI-Proof</w:t>
            </w:r>
          </w:p>
          <w:p>
            <w:pPr>
              <w:spacing w:after="0" w:before="0"/>
            </w:pPr>
            <w:r>
              <w:rPr>
                <w:rFonts w:ascii="Arial" w:cs="Arial" w:eastAsia="Arial" w:hAnsi="Arial"/>
                <w:color w:val="1A1A2E"/>
                <w:sz w:val="21"/>
                <w:szCs w:val="21"/>
              </w:rPr>
              <w:t xml:space="preserve">These features require Regula's proprietary multi-tenant data — the aggregate behaviour of dozens of compliance teams across the same regulatory landscape. No standalone AI model has this. The more teams use Regula, the better these features become: a classic data network effect.</w:t>
            </w:r>
          </w:p>
        </w:tc>
      </w:tr>
    </w:tbl>
    <w:p>
      <w:pPr>
        <w:spacing w:after="160" w:before="0"/>
      </w:pPr>
      <w:r>
        <w:t xml:space="preserve"/>
      </w:r>
    </w:p>
    <w:p>
      <w:pPr>
        <w:pStyle w:val="Heading2"/>
        <w:spacing w:after="120" w:before="300"/>
      </w:pPr>
      <w:r>
        <w:rPr>
          <w:rFonts w:ascii="Arial" w:cs="Arial" w:eastAsia="Arial" w:hAnsi="Arial"/>
          <w:b/>
          <w:bCs/>
          <w:color w:val="2E5FA3"/>
          <w:sz w:val="28"/>
          <w:szCs w:val="28"/>
        </w:rPr>
        <w:t xml:space="preserve">Strategy 4 — Deepen Workflow Integration Until Switching is Painful  [HIGH PRIORITY]</w:t>
      </w:r>
    </w:p>
    <w:p>
      <w:pPr>
        <w:spacing w:after="120" w:before="80"/>
      </w:pPr>
      <w:r>
        <w:rPr>
          <w:rFonts w:ascii="Arial" w:cs="Arial" w:eastAsia="Arial" w:hAnsi="Arial"/>
          <w:color w:val="1A1A2E"/>
          <w:sz w:val="22"/>
          <w:szCs w:val="22"/>
        </w:rPr>
        <w:t xml:space="preserve">Regula's workflow moat (triage, assignment, snooze, threads) is strong but shallow — the features exist but don't yet create deep switching costs. The goal is to make Regula so embedded in compliance team operations that migrating away would require rebuilding years of tribal knowledge.</w:t>
      </w:r>
    </w:p>
    <w:p>
      <w:pPr>
        <w:spacing w:after="6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Integrate with Jira, Linear, and Asana — regulatory changes that require engineering work should flow directly into eng sprints with one click.</w:t>
      </w:r>
    </w:p>
    <w:p>
      <w:pPr>
        <w:pStyle w:val="ListParagraph"/>
        <w:numPr>
          <w:ilvl w:val="0"/>
          <w:numId w:val="2"/>
        </w:numPr>
        <w:spacing w:after="60" w:before="60"/>
      </w:pPr>
      <w:r>
        <w:rPr>
          <w:rFonts w:ascii="Arial" w:cs="Arial" w:eastAsia="Arial" w:hAnsi="Arial"/>
          <w:color w:val="1A1A2E"/>
          <w:sz w:val="22"/>
          <w:szCs w:val="22"/>
        </w:rPr>
        <w:t xml:space="preserve">Add Slack-native triage — a full /regula command set so compliance teams never leave Slack to review and assign alerts.</w:t>
      </w:r>
    </w:p>
    <w:p>
      <w:pPr>
        <w:pStyle w:val="ListParagraph"/>
        <w:numPr>
          <w:ilvl w:val="0"/>
          <w:numId w:val="2"/>
        </w:numPr>
        <w:spacing w:after="60" w:before="60"/>
      </w:pPr>
      <w:r>
        <w:rPr>
          <w:rFonts w:ascii="Arial" w:cs="Arial" w:eastAsia="Arial" w:hAnsi="Arial"/>
          <w:color w:val="1A1A2E"/>
          <w:sz w:val="22"/>
          <w:szCs w:val="22"/>
        </w:rPr>
        <w:t xml:space="preserve">Build a 'Compliance Calendar' view showing upcoming regulation effective dates, internal deadlines, and review milestones on a single timeline.</w:t>
      </w:r>
    </w:p>
    <w:p>
      <w:pPr>
        <w:pStyle w:val="ListParagraph"/>
        <w:numPr>
          <w:ilvl w:val="0"/>
          <w:numId w:val="2"/>
        </w:numPr>
        <w:spacing w:after="60" w:before="60"/>
      </w:pPr>
      <w:r>
        <w:rPr>
          <w:rFonts w:ascii="Arial" w:cs="Arial" w:eastAsia="Arial" w:hAnsi="Arial"/>
          <w:color w:val="1A1A2E"/>
          <w:sz w:val="22"/>
          <w:szCs w:val="22"/>
        </w:rPr>
        <w:t xml:space="preserve">Introduce 'Compliance Playbooks' — reusable response templates that teams build over time for recurring regulatory change types (AML updates, KYC changes, data localisation).</w:t>
      </w:r>
    </w:p>
    <w:p>
      <w:pPr>
        <w:pStyle w:val="ListParagraph"/>
        <w:numPr>
          <w:ilvl w:val="0"/>
          <w:numId w:val="2"/>
        </w:numPr>
        <w:spacing w:after="60" w:before="60"/>
      </w:pPr>
      <w:r>
        <w:rPr>
          <w:rFonts w:ascii="Arial" w:cs="Arial" w:eastAsia="Arial" w:hAnsi="Arial"/>
          <w:color w:val="1A1A2E"/>
          <w:sz w:val="22"/>
          <w:szCs w:val="22"/>
        </w:rPr>
        <w:t xml:space="preserve">Offer SSO (Okta, Azure AD) and SCIM provisioning for enterprise teams — making Regula part of the IT stack, not just a SaaS tool.</w:t>
      </w:r>
    </w:p>
    <w:p>
      <w:pPr>
        <w:spacing w:after="160" w:before="0"/>
      </w:pPr>
      <w:r>
        <w:t xml:space="preserve"/>
      </w:r>
    </w:p>
    <w:p>
      <w:pPr>
        <w:pStyle w:val="Heading2"/>
        <w:spacing w:after="120" w:before="300"/>
      </w:pPr>
      <w:r>
        <w:rPr>
          <w:rFonts w:ascii="Arial" w:cs="Arial" w:eastAsia="Arial" w:hAnsi="Arial"/>
          <w:b/>
          <w:bCs/>
          <w:color w:val="2E5FA3"/>
          <w:sz w:val="28"/>
          <w:szCs w:val="28"/>
        </w:rPr>
        <w:t xml:space="preserve">Strategy 5 — Own the Emerging-Market Regulatory Data Layer  [HIGH PRIORITY]</w:t>
      </w:r>
    </w:p>
    <w:p>
      <w:pPr>
        <w:spacing w:after="120" w:before="80"/>
      </w:pPr>
      <w:r>
        <w:rPr>
          <w:rFonts w:ascii="Arial" w:cs="Arial" w:eastAsia="Arial" w:hAnsi="Arial"/>
          <w:color w:val="1A1A2E"/>
          <w:sz w:val="22"/>
          <w:szCs w:val="22"/>
        </w:rPr>
        <w:t xml:space="preserve">Regula's geographic focus is its least-replicated advantage. The strategy should be to go deeper — not just crawl more sources, but become the authoritative data layer for emerging-market regulatory intelligence.</w:t>
      </w:r>
    </w:p>
    <w:p>
      <w:pPr>
        <w:spacing w:after="6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Expand source coverage to 50+ targets per market: not just central banks and securities commissions, but also tax authorities (FBR in Pakistan), telecom regulators (PTA), data protection bodies, and financial intelligence units (FMU).</w:t>
      </w:r>
    </w:p>
    <w:p>
      <w:pPr>
        <w:pStyle w:val="ListParagraph"/>
        <w:numPr>
          <w:ilvl w:val="0"/>
          <w:numId w:val="2"/>
        </w:numPr>
        <w:spacing w:after="60" w:before="60"/>
      </w:pPr>
      <w:r>
        <w:rPr>
          <w:rFonts w:ascii="Arial" w:cs="Arial" w:eastAsia="Arial" w:hAnsi="Arial"/>
          <w:color w:val="1A1A2E"/>
          <w:sz w:val="22"/>
          <w:szCs w:val="22"/>
        </w:rPr>
        <w:t xml:space="preserve">Build 'Regulatory Profiles' for each source: history, typical change frequency, last 10 changes, relationship to other regulatory bodies, common compliance implications.</w:t>
      </w:r>
    </w:p>
    <w:p>
      <w:pPr>
        <w:pStyle w:val="ListParagraph"/>
        <w:numPr>
          <w:ilvl w:val="0"/>
          <w:numId w:val="2"/>
        </w:numPr>
        <w:spacing w:after="60" w:before="60"/>
      </w:pPr>
      <w:r>
        <w:rPr>
          <w:rFonts w:ascii="Arial" w:cs="Arial" w:eastAsia="Arial" w:hAnsi="Arial"/>
          <w:color w:val="1A1A2E"/>
          <w:sz w:val="22"/>
          <w:szCs w:val="22"/>
        </w:rPr>
        <w:t xml:space="preserve">License the regulatory archive as a data API — law firms, consultancies, and financial institutions pay for structured, machine-readable regulatory history.</w:t>
      </w:r>
    </w:p>
    <w:p>
      <w:pPr>
        <w:pStyle w:val="ListParagraph"/>
        <w:numPr>
          <w:ilvl w:val="0"/>
          <w:numId w:val="2"/>
        </w:numPr>
        <w:spacing w:after="60" w:before="60"/>
      </w:pPr>
      <w:r>
        <w:rPr>
          <w:rFonts w:ascii="Arial" w:cs="Arial" w:eastAsia="Arial" w:hAnsi="Arial"/>
          <w:color w:val="1A1A2E"/>
          <w:sz w:val="22"/>
          <w:szCs w:val="22"/>
        </w:rPr>
        <w:t xml:space="preserve">Create a public 'Pakistan FinTech Regulatory Almanac' — a free, indexed, searchable archive of all regulatory changes since 2018. Drive SEO, establish authority, generate leads.</w:t>
      </w:r>
    </w:p>
    <w:p>
      <w:pPr>
        <w:spacing w:after="160" w:before="0"/>
      </w:pPr>
      <w:r>
        <w:t xml:space="preserve"/>
      </w:r>
    </w:p>
    <w:p>
      <w:pPr>
        <w:pStyle w:val="Heading2"/>
        <w:spacing w:after="120" w:before="300"/>
      </w:pPr>
      <w:r>
        <w:rPr>
          <w:rFonts w:ascii="Arial" w:cs="Arial" w:eastAsia="Arial" w:hAnsi="Arial"/>
          <w:b/>
          <w:bCs/>
          <w:color w:val="2E5FA3"/>
          <w:sz w:val="28"/>
          <w:szCs w:val="28"/>
        </w:rPr>
        <w:t xml:space="preserve">Strategy 6 — Build a Compliance Community Moat  [MEDIUM PRIORITY]</w:t>
      </w:r>
    </w:p>
    <w:p>
      <w:pPr>
        <w:spacing w:after="120" w:before="80"/>
      </w:pPr>
      <w:r>
        <w:rPr>
          <w:rFonts w:ascii="Arial" w:cs="Arial" w:eastAsia="Arial" w:hAnsi="Arial"/>
          <w:color w:val="1A1A2E"/>
          <w:sz w:val="22"/>
          <w:szCs w:val="22"/>
        </w:rPr>
        <w:t xml:space="preserve">The most durable moats in B2B SaaS are community moats — when your product becomes the place where an industry's practitioners gather, share knowledge, and establish norms. Regula has a natural opportunity here.</w:t>
      </w:r>
    </w:p>
    <w:p>
      <w:pPr>
        <w:spacing w:after="6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Launch 'Regula Community' — a forum/Slack for compliance officers at Pakistani, Nigerian, and Malaysian FinTechs to discuss regulatory changes, share interpretation, and benchmark practices.</w:t>
      </w:r>
    </w:p>
    <w:p>
      <w:pPr>
        <w:pStyle w:val="ListParagraph"/>
        <w:numPr>
          <w:ilvl w:val="0"/>
          <w:numId w:val="2"/>
        </w:numPr>
        <w:spacing w:after="60" w:before="60"/>
      </w:pPr>
      <w:r>
        <w:rPr>
          <w:rFonts w:ascii="Arial" w:cs="Arial" w:eastAsia="Arial" w:hAnsi="Arial"/>
          <w:color w:val="1A1A2E"/>
          <w:sz w:val="22"/>
          <w:szCs w:val="22"/>
        </w:rPr>
        <w:t xml:space="preserve">Host a monthly 'Regulatory Roundtable' webinar with guest appearances from ex-regulators and compliance leads.</w:t>
      </w:r>
    </w:p>
    <w:p>
      <w:pPr>
        <w:pStyle w:val="ListParagraph"/>
        <w:numPr>
          <w:ilvl w:val="0"/>
          <w:numId w:val="2"/>
        </w:numPr>
        <w:spacing w:after="60" w:before="60"/>
      </w:pPr>
      <w:r>
        <w:rPr>
          <w:rFonts w:ascii="Arial" w:cs="Arial" w:eastAsia="Arial" w:hAnsi="Arial"/>
          <w:color w:val="1A1A2E"/>
          <w:sz w:val="22"/>
          <w:szCs w:val="22"/>
        </w:rPr>
        <w:t xml:space="preserve">Publish 'Compliance Briefs' — expert-written (not AI-generated) analysis of major regulatory changes, available to all users and as a newsletter.</w:t>
      </w:r>
    </w:p>
    <w:p>
      <w:pPr>
        <w:pStyle w:val="ListParagraph"/>
        <w:numPr>
          <w:ilvl w:val="0"/>
          <w:numId w:val="2"/>
        </w:numPr>
        <w:spacing w:after="60" w:before="60"/>
      </w:pPr>
      <w:r>
        <w:rPr>
          <w:rFonts w:ascii="Arial" w:cs="Arial" w:eastAsia="Arial" w:hAnsi="Arial"/>
          <w:color w:val="1A1A2E"/>
          <w:sz w:val="22"/>
          <w:szCs w:val="22"/>
        </w:rPr>
        <w:t xml:space="preserve">Partner with FinTech associations (P@SHA, FinTech Association of Nigeria, FinTech Association Malaysia) for co-branded compliance resources.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7" w:val="clear"/>
            <w:tcMar>
              <w:top w:type="dxa" w:w="160"/>
              <w:left w:type="dxa" w:w="200"/>
              <w:bottom w:type="dxa" w:w="160"/>
              <w:right w:type="dxa" w:w="200"/>
            </w:tcMar>
          </w:tcPr>
          <w:p>
            <w:pPr>
              <w:spacing w:after="60" w:before="0"/>
            </w:pPr>
            <w:r>
              <w:rPr>
                <w:rFonts w:ascii="Arial" w:cs="Arial" w:eastAsia="Arial" w:hAnsi="Arial"/>
                <w:b/>
                <w:bCs/>
                <w:color w:val="1B3A6B"/>
                <w:sz w:val="22"/>
                <w:szCs w:val="22"/>
              </w:rPr>
              <w:t xml:space="preserve">Why This Is AI-Proof</w:t>
            </w:r>
          </w:p>
          <w:p>
            <w:pPr>
              <w:spacing w:after="0" w:before="0"/>
            </w:pPr>
            <w:r>
              <w:rPr>
                <w:rFonts w:ascii="Arial" w:cs="Arial" w:eastAsia="Arial" w:hAnsi="Arial"/>
                <w:color w:val="1A1A2E"/>
                <w:sz w:val="21"/>
                <w:szCs w:val="21"/>
              </w:rPr>
              <w:t xml:space="preserve">Community and human relationships are the one thing AI cannot replicate. When a compliance officer at a Lagos FinTech asks 'how are other teams handling the new CBN data localisation rule?' — they want a peer's answer, not a chatbot's. Regula as the home of that conversation creates switching costs that have nothing to do with features.</w:t>
            </w:r>
          </w:p>
        </w:tc>
      </w:tr>
    </w:tbl>
    <w:p>
      <w:pPr>
        <w:spacing w:after="160" w:before="0"/>
      </w:pPr>
      <w:r>
        <w:t xml:space="preserve"/>
      </w:r>
    </w:p>
    <w:p>
      <w:pPr>
        <w:pStyle w:val="Heading2"/>
        <w:spacing w:after="120" w:before="300"/>
      </w:pPr>
      <w:r>
        <w:rPr>
          <w:rFonts w:ascii="Arial" w:cs="Arial" w:eastAsia="Arial" w:hAnsi="Arial"/>
          <w:b/>
          <w:bCs/>
          <w:color w:val="2E5FA3"/>
          <w:sz w:val="28"/>
          <w:szCs w:val="28"/>
        </w:rPr>
        <w:t xml:space="preserve">Strategy 7 — Pursue Regulatory Certification and Compliance Badges  [MEDIUM PRIORITY]</w:t>
      </w:r>
    </w:p>
    <w:p>
      <w:pPr>
        <w:spacing w:after="120" w:before="80"/>
      </w:pPr>
      <w:r>
        <w:rPr>
          <w:rFonts w:ascii="Arial" w:cs="Arial" w:eastAsia="Arial" w:hAnsi="Arial"/>
          <w:color w:val="1A1A2E"/>
          <w:sz w:val="22"/>
          <w:szCs w:val="22"/>
        </w:rPr>
        <w:t xml:space="preserve">Regulatory bodies in Pakistan, Nigeria, and Malaysia are actively developing RegTech frameworks. Regula should position itself for formal recognition.</w:t>
      </w:r>
    </w:p>
    <w:p>
      <w:pPr>
        <w:spacing w:after="6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Apply for SBP's RegTech Sandbox participation — getting official recognition as an approved compliance monitoring tool is an insurmountable competitive barrier for AI-only alternatives.</w:t>
      </w:r>
    </w:p>
    <w:p>
      <w:pPr>
        <w:pStyle w:val="ListParagraph"/>
        <w:numPr>
          <w:ilvl w:val="0"/>
          <w:numId w:val="2"/>
        </w:numPr>
        <w:spacing w:after="60" w:before="60"/>
      </w:pPr>
      <w:r>
        <w:rPr>
          <w:rFonts w:ascii="Arial" w:cs="Arial" w:eastAsia="Arial" w:hAnsi="Arial"/>
          <w:color w:val="1A1A2E"/>
          <w:sz w:val="22"/>
          <w:szCs w:val="22"/>
        </w:rPr>
        <w:t xml:space="preserve">Pursue SOC 2 Type II certification — required by enterprise FinTech compliance teams and impossible for general AI assistants to claim.</w:t>
      </w:r>
    </w:p>
    <w:p>
      <w:pPr>
        <w:pStyle w:val="ListParagraph"/>
        <w:numPr>
          <w:ilvl w:val="0"/>
          <w:numId w:val="2"/>
        </w:numPr>
        <w:spacing w:after="60" w:before="60"/>
      </w:pPr>
      <w:r>
        <w:rPr>
          <w:rFonts w:ascii="Arial" w:cs="Arial" w:eastAsia="Arial" w:hAnsi="Arial"/>
          <w:color w:val="1A1A2E"/>
          <w:sz w:val="22"/>
          <w:szCs w:val="22"/>
        </w:rPr>
        <w:t xml:space="preserve">Obtain ISO 27001 certification — signals data security maturity that enterprise FinTechs need for their own regulatory compliance.</w:t>
      </w:r>
    </w:p>
    <w:p>
      <w:pPr>
        <w:pStyle w:val="ListParagraph"/>
        <w:numPr>
          <w:ilvl w:val="0"/>
          <w:numId w:val="2"/>
        </w:numPr>
        <w:spacing w:after="60" w:before="60"/>
      </w:pPr>
      <w:r>
        <w:rPr>
          <w:rFonts w:ascii="Arial" w:cs="Arial" w:eastAsia="Arial" w:hAnsi="Arial"/>
          <w:color w:val="1A1A2E"/>
          <w:sz w:val="22"/>
          <w:szCs w:val="22"/>
        </w:rPr>
        <w:t xml:space="preserve">Work toward formal recognition in SECP's FinTech regulatory framework as an approved compliance infrastructure provider.</w:t>
      </w:r>
    </w:p>
    <w:p>
      <w:pPr>
        <w:spacing w:after="160" w:before="0"/>
      </w:pPr>
      <w:r>
        <w:t xml:space="preserve"/>
      </w:r>
    </w:p>
    <w:p>
      <w:pPr>
        <w:pStyle w:val="Heading2"/>
        <w:spacing w:after="120" w:before="300"/>
      </w:pPr>
      <w:r>
        <w:rPr>
          <w:rFonts w:ascii="Arial" w:cs="Arial" w:eastAsia="Arial" w:hAnsi="Arial"/>
          <w:b/>
          <w:bCs/>
          <w:color w:val="2E5FA3"/>
          <w:sz w:val="28"/>
          <w:szCs w:val="28"/>
        </w:rPr>
        <w:t xml:space="preserve">Strategy 8 — Verticalize Into Specific Compliance Use Cases  [MEDIUM PRIORITY]</w:t>
      </w:r>
    </w:p>
    <w:p>
      <w:pPr>
        <w:spacing w:after="120" w:before="80"/>
      </w:pPr>
      <w:r>
        <w:rPr>
          <w:rFonts w:ascii="Arial" w:cs="Arial" w:eastAsia="Arial" w:hAnsi="Arial"/>
          <w:color w:val="1A1A2E"/>
          <w:sz w:val="22"/>
          <w:szCs w:val="22"/>
        </w:rPr>
        <w:t xml:space="preserve">Regula currently serves all compliance monitoring needs horizontally. A strategic deepening is to verticalize into the highest-value, most complex compliance use cases where AI is farthest from being adequate.</w:t>
      </w:r>
    </w:p>
    <w:p>
      <w:pPr>
        <w:spacing w:after="6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AML/CFT Compliance Module — Real-time monitoring of FATF guidance, FMU directives, and CBN AML circulars, with pre-built response playbooks and FATF mutual evaluation tracker.</w:t>
      </w:r>
    </w:p>
    <w:p>
      <w:pPr>
        <w:pStyle w:val="ListParagraph"/>
        <w:numPr>
          <w:ilvl w:val="0"/>
          <w:numId w:val="2"/>
        </w:numPr>
        <w:spacing w:after="60" w:before="60"/>
      </w:pPr>
      <w:r>
        <w:rPr>
          <w:rFonts w:ascii="Arial" w:cs="Arial" w:eastAsia="Arial" w:hAnsi="Arial"/>
          <w:color w:val="1A1A2E"/>
          <w:sz w:val="22"/>
          <w:szCs w:val="22"/>
        </w:rPr>
        <w:t xml:space="preserve">Open Banking / API Compliance — Track SBP's open banking framework evolution, API security standards, and third-party provider licensing requirements.</w:t>
      </w:r>
    </w:p>
    <w:p>
      <w:pPr>
        <w:pStyle w:val="ListParagraph"/>
        <w:numPr>
          <w:ilvl w:val="0"/>
          <w:numId w:val="2"/>
        </w:numPr>
        <w:spacing w:after="60" w:before="60"/>
      </w:pPr>
      <w:r>
        <w:rPr>
          <w:rFonts w:ascii="Arial" w:cs="Arial" w:eastAsia="Arial" w:hAnsi="Arial"/>
          <w:color w:val="1A1A2E"/>
          <w:sz w:val="22"/>
          <w:szCs w:val="22"/>
        </w:rPr>
        <w:t xml:space="preserve">Consumer Protection Compliance — Monitor FCA-style consumer duty developments in Pakistani and Nigerian regulation.</w:t>
      </w:r>
    </w:p>
    <w:p>
      <w:pPr>
        <w:pStyle w:val="ListParagraph"/>
        <w:numPr>
          <w:ilvl w:val="0"/>
          <w:numId w:val="2"/>
        </w:numPr>
        <w:spacing w:after="60" w:before="60"/>
      </w:pPr>
      <w:r>
        <w:rPr>
          <w:rFonts w:ascii="Arial" w:cs="Arial" w:eastAsia="Arial" w:hAnsi="Arial"/>
          <w:color w:val="1A1A2E"/>
          <w:sz w:val="22"/>
          <w:szCs w:val="22"/>
        </w:rPr>
        <w:t xml:space="preserve">Cross-Border Payment Compliance — Track remittance regulation across Pakistan, Nigeria, and Malaysia simultaneously for teams operating across markets.</w:t>
      </w:r>
    </w:p>
    <w:p>
      <w:pPr>
        <w:spacing w:after="160" w:before="0"/>
      </w:pPr>
      <w:r>
        <w:t xml:space="preserve"/>
      </w:r>
    </w:p>
    <w:p>
      <w:pPr>
        <w:pStyle w:val="Heading2"/>
        <w:spacing w:after="120" w:before="300"/>
      </w:pPr>
      <w:r>
        <w:rPr>
          <w:rFonts w:ascii="Arial" w:cs="Arial" w:eastAsia="Arial" w:hAnsi="Arial"/>
          <w:b/>
          <w:bCs/>
          <w:color w:val="2E5FA3"/>
          <w:sz w:val="28"/>
          <w:szCs w:val="28"/>
        </w:rPr>
        <w:t xml:space="preserve">Strategy 9 — Embed AI as a Collaborator, Not a Feature  [MEDIUM PRIORITY]</w:t>
      </w:r>
    </w:p>
    <w:p>
      <w:pPr>
        <w:spacing w:after="120" w:before="80"/>
      </w:pPr>
      <w:r>
        <w:rPr>
          <w:rFonts w:ascii="Arial" w:cs="Arial" w:eastAsia="Arial" w:hAnsi="Arial"/>
          <w:color w:val="1A1A2E"/>
          <w:sz w:val="22"/>
          <w:szCs w:val="22"/>
        </w:rPr>
        <w:t xml:space="preserve">Rather than using AI as a backend summarisation engine (which any competitor can replicate), Regula should embed AI as a named, persistent compliance collaborator visible within the product.</w:t>
      </w:r>
    </w:p>
    <w:p>
      <w:pPr>
        <w:spacing w:after="6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Introduce 'Regula AI Analyst' — a named AI persona within the product that proactively flags regulatory risks, drafts initial compliance memos, and suggests playbook steps when a new change is detected.</w:t>
      </w:r>
    </w:p>
    <w:p>
      <w:pPr>
        <w:pStyle w:val="ListParagraph"/>
        <w:numPr>
          <w:ilvl w:val="0"/>
          <w:numId w:val="2"/>
        </w:numPr>
        <w:spacing w:after="60" w:before="60"/>
      </w:pPr>
      <w:r>
        <w:rPr>
          <w:rFonts w:ascii="Arial" w:cs="Arial" w:eastAsia="Arial" w:hAnsi="Arial"/>
          <w:color w:val="1A1A2E"/>
          <w:sz w:val="22"/>
          <w:szCs w:val="22"/>
        </w:rPr>
        <w:t xml:space="preserve">The AI Analyst should have memory: 'Last time SBP issued data localisation guidance, your team flagged it High and routed it to Legal within 2 hours. Want me to do the same here?'</w:t>
      </w:r>
    </w:p>
    <w:p>
      <w:pPr>
        <w:pStyle w:val="ListParagraph"/>
        <w:numPr>
          <w:ilvl w:val="0"/>
          <w:numId w:val="2"/>
        </w:numPr>
        <w:spacing w:after="60" w:before="60"/>
      </w:pPr>
      <w:r>
        <w:rPr>
          <w:rFonts w:ascii="Arial" w:cs="Arial" w:eastAsia="Arial" w:hAnsi="Arial"/>
          <w:color w:val="1A1A2E"/>
          <w:sz w:val="22"/>
          <w:szCs w:val="22"/>
        </w:rPr>
        <w:t xml:space="preserve">Allow the AI Analyst to be trained on a team's own compliance policies, past decisions, and internal playbooks — creating a bespoke AI that no generic model can replicate.</w:t>
      </w:r>
    </w:p>
    <w:p>
      <w:pPr>
        <w:pStyle w:val="ListParagraph"/>
        <w:numPr>
          <w:ilvl w:val="0"/>
          <w:numId w:val="2"/>
        </w:numPr>
        <w:spacing w:after="60" w:before="60"/>
      </w:pPr>
      <w:r>
        <w:rPr>
          <w:rFonts w:ascii="Arial" w:cs="Arial" w:eastAsia="Arial" w:hAnsi="Arial"/>
          <w:color w:val="1A1A2E"/>
          <w:sz w:val="22"/>
          <w:szCs w:val="22"/>
        </w:rPr>
        <w:t xml:space="preserve">Position the AI Analyst as a co-pilot, not a replacement — the human compliance officer makes final decisions; the AI does the legwork and maintains the audit trail.</w:t>
      </w:r>
    </w:p>
    <w:p>
      <w:pPr>
        <w:spacing w:after="160" w:before="0"/>
      </w:pPr>
      <w:r>
        <w:t xml:space="preserve"/>
      </w:r>
    </w:p>
    <w:p>
      <w:pPr>
        <w:pStyle w:val="Heading2"/>
        <w:spacing w:after="120" w:before="300"/>
      </w:pPr>
      <w:r>
        <w:rPr>
          <w:rFonts w:ascii="Arial" w:cs="Arial" w:eastAsia="Arial" w:hAnsi="Arial"/>
          <w:b/>
          <w:bCs/>
          <w:color w:val="2E5FA3"/>
          <w:sz w:val="28"/>
          <w:szCs w:val="28"/>
        </w:rPr>
        <w:t xml:space="preserve">Strategy 10 — Lock In With Outcome-Based Pricing  [LOWER PRIORITY]</w:t>
      </w:r>
    </w:p>
    <w:p>
      <w:pPr>
        <w:spacing w:after="120" w:before="80"/>
      </w:pPr>
      <w:r>
        <w:rPr>
          <w:rFonts w:ascii="Arial" w:cs="Arial" w:eastAsia="Arial" w:hAnsi="Arial"/>
          <w:color w:val="1A1A2E"/>
          <w:sz w:val="22"/>
          <w:szCs w:val="22"/>
        </w:rPr>
        <w:t xml:space="preserve">Regula's current pricing is tool-based (targets, crawl frequency). As the market matures, outcome-based pricing creates stickiness that AI alternatives — which are typically usage-priced — cannot match.</w:t>
      </w:r>
    </w:p>
    <w:p>
      <w:pPr>
        <w:spacing w:after="6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Introduce a 'Compliance Guarantee' tier — if Regula misses a material regulatory change that results in a compliance failure, offer a service credit or remediation support.</w:t>
      </w:r>
    </w:p>
    <w:p>
      <w:pPr>
        <w:pStyle w:val="ListParagraph"/>
        <w:numPr>
          <w:ilvl w:val="0"/>
          <w:numId w:val="2"/>
        </w:numPr>
        <w:spacing w:after="60" w:before="60"/>
      </w:pPr>
      <w:r>
        <w:rPr>
          <w:rFonts w:ascii="Arial" w:cs="Arial" w:eastAsia="Arial" w:hAnsi="Arial"/>
          <w:color w:val="1A1A2E"/>
          <w:sz w:val="22"/>
          <w:szCs w:val="22"/>
        </w:rPr>
        <w:t xml:space="preserve">Offer 'Regulatory Readiness Scores' — quarterly reports that benchmark a team's compliance posture and give them a score to take to the board.</w:t>
      </w:r>
    </w:p>
    <w:p>
      <w:pPr>
        <w:pStyle w:val="ListParagraph"/>
        <w:numPr>
          <w:ilvl w:val="0"/>
          <w:numId w:val="2"/>
        </w:numPr>
        <w:spacing w:after="60" w:before="60"/>
      </w:pPr>
      <w:r>
        <w:rPr>
          <w:rFonts w:ascii="Arial" w:cs="Arial" w:eastAsia="Arial" w:hAnsi="Arial"/>
          <w:color w:val="1A1A2E"/>
          <w:sz w:val="22"/>
          <w:szCs w:val="22"/>
        </w:rPr>
        <w:t xml:space="preserve">Price enterprise tiers based on number of licenses held or AUM managed — aligning Regula's pricing to business outcomes rather than usage.</w:t>
      </w:r>
    </w:p>
    <w:p>
      <w:pPr>
        <w:pStyle w:val="ListParagraph"/>
        <w:numPr>
          <w:ilvl w:val="0"/>
          <w:numId w:val="2"/>
        </w:numPr>
        <w:spacing w:after="60" w:before="60"/>
      </w:pPr>
      <w:r>
        <w:rPr>
          <w:rFonts w:ascii="Arial" w:cs="Arial" w:eastAsia="Arial" w:hAnsi="Arial"/>
          <w:color w:val="1A1A2E"/>
          <w:sz w:val="22"/>
          <w:szCs w:val="22"/>
        </w:rPr>
        <w:t xml:space="preserve">Explore regulatory insurance partnerships — Regula's audit trails could underwrite lower compliance insurance premiums for users.</w:t>
      </w:r>
    </w:p>
    <w:p>
      <w:pPr>
        <w:spacing w:after="160" w:before="0"/>
      </w:pPr>
      <w:r>
        <w:t xml:space="preserve"/>
      </w:r>
    </w:p>
    <w:p>
      <w:pPr>
        <w:pStyle w:val="Heading1"/>
        <w:pBdr>
          <w:bottom w:val="single" w:color="2E5FA3" w:sz="8" w:space="6"/>
        </w:pBdr>
        <w:spacing w:after="160" w:before="400"/>
      </w:pPr>
      <w:r>
        <w:rPr>
          <w:rFonts w:ascii="Arial" w:cs="Arial" w:eastAsia="Arial" w:hAnsi="Arial"/>
          <w:b/>
          <w:bCs/>
          <w:color w:val="1B3A6B"/>
          <w:sz w:val="36"/>
          <w:szCs w:val="36"/>
        </w:rPr>
        <w:t xml:space="preserve">6. Recommended Prioritisation Roadmap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DDDDDD" w:sz="1"/>
              <w:left w:val="single" w:color="DDDDDD" w:sz="1"/>
              <w:bottom w:val="single" w:color="DDDDDD" w:sz="1"/>
              <w:right w:val="single" w:color="DDDDDD"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Horizon</w:t>
            </w:r>
          </w:p>
        </w:tc>
        <w:tc>
          <w:tcPr>
            <w:tcW w:type="dxa" w:w="3960"/>
            <w:tcBorders>
              <w:top w:val="single" w:color="DDDDDD" w:sz="1"/>
              <w:left w:val="single" w:color="DDDDDD" w:sz="1"/>
              <w:bottom w:val="single" w:color="DDDDDD" w:sz="1"/>
              <w:right w:val="single" w:color="DDDDDD"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Priority Actions</w:t>
            </w:r>
          </w:p>
        </w:tc>
        <w:tc>
          <w:tcPr>
            <w:tcW w:type="dxa" w:w="3600"/>
            <w:tcBorders>
              <w:top w:val="single" w:color="DDDDDD" w:sz="1"/>
              <w:left w:val="single" w:color="DDDDDD" w:sz="1"/>
              <w:bottom w:val="single" w:color="DDDDDD" w:sz="1"/>
              <w:right w:val="single" w:color="DDDDDD"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Expected Moat Impact</w:t>
            </w:r>
          </w:p>
        </w:tc>
      </w:tr>
      <w:tr>
        <w:tc>
          <w:tcPr>
            <w:tcW w:type="dxa" w:w="1800"/>
            <w:tcBorders>
              <w:top w:val="single" w:color="DDDDDD" w:sz="1"/>
              <w:left w:val="single" w:color="DDDDDD" w:sz="1"/>
              <w:bottom w:val="single" w:color="DDDDDD" w:sz="1"/>
              <w:right w:val="single" w:color="DDDDDD"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0-3 Months</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1A2E"/>
                <w:sz w:val="20"/>
                <w:szCs w:val="20"/>
              </w:rPr>
              <w:t xml:space="preserve">Compliance Evidence Vault (Strategy 1)</w:t>
            </w:r>
          </w:p>
          <w:p>
            <w:pPr>
              <w:pStyle w:val="ListParagraph"/>
              <w:numPr>
                <w:ilvl w:val="0"/>
                <w:numId w:val="2"/>
              </w:numPr>
              <w:spacing w:after="40" w:before="40"/>
            </w:pPr>
            <w:r>
              <w:rPr>
                <w:rFonts w:ascii="Arial" w:cs="Arial" w:eastAsia="Arial" w:hAnsi="Arial"/>
                <w:color w:val="1A1A2E"/>
                <w:sz w:val="20"/>
                <w:szCs w:val="20"/>
              </w:rPr>
              <w:t xml:space="preserve">One-click audit report export (Strategy 1)</w:t>
            </w:r>
          </w:p>
          <w:p>
            <w:pPr>
              <w:pStyle w:val="ListParagraph"/>
              <w:numPr>
                <w:ilvl w:val="0"/>
                <w:numId w:val="2"/>
              </w:numPr>
              <w:spacing w:after="40" w:before="40"/>
            </w:pPr>
            <w:r>
              <w:rPr>
                <w:rFonts w:ascii="Arial" w:cs="Arial" w:eastAsia="Arial" w:hAnsi="Arial"/>
                <w:color w:val="1A1A2E"/>
                <w:sz w:val="20"/>
                <w:szCs w:val="20"/>
              </w:rPr>
              <w:t xml:space="preserve">Expand source coverage 3x per market (Strategy 5)</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Converts trial users to long-term retention; makes archive the product.</w:t>
            </w:r>
          </w:p>
        </w:tc>
      </w:tr>
      <w:tr>
        <w:tc>
          <w:tcPr>
            <w:tcW w:type="dxa" w:w="18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3-6 Months</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1A2E"/>
                <w:sz w:val="20"/>
                <w:szCs w:val="20"/>
              </w:rPr>
              <w:t xml:space="preserve">Jira/Linear integration (Strategy 4)</w:t>
            </w:r>
          </w:p>
          <w:p>
            <w:pPr>
              <w:pStyle w:val="ListParagraph"/>
              <w:numPr>
                <w:ilvl w:val="0"/>
                <w:numId w:val="2"/>
              </w:numPr>
              <w:spacing w:after="40" w:before="40"/>
            </w:pPr>
            <w:r>
              <w:rPr>
                <w:rFonts w:ascii="Arial" w:cs="Arial" w:eastAsia="Arial" w:hAnsi="Arial"/>
                <w:color w:val="1A1A2E"/>
                <w:sz w:val="20"/>
                <w:szCs w:val="20"/>
              </w:rPr>
              <w:t xml:space="preserve">Regulatory Trend Radar AI feature (Strategy 3)</w:t>
            </w:r>
          </w:p>
          <w:p>
            <w:pPr>
              <w:pStyle w:val="ListParagraph"/>
              <w:numPr>
                <w:ilvl w:val="0"/>
                <w:numId w:val="2"/>
              </w:numPr>
              <w:spacing w:after="40" w:before="40"/>
            </w:pPr>
            <w:r>
              <w:rPr>
                <w:rFonts w:ascii="Arial" w:cs="Arial" w:eastAsia="Arial" w:hAnsi="Arial"/>
                <w:color w:val="1A1A2E"/>
                <w:sz w:val="20"/>
                <w:szCs w:val="20"/>
              </w:rPr>
              <w:t xml:space="preserve">SBP sandbox partnership application (Strategy 2)</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Deepens workflow switching costs; begins proprietary AI differentiation.</w:t>
            </w:r>
          </w:p>
        </w:tc>
      </w:tr>
      <w:tr>
        <w:tc>
          <w:tcPr>
            <w:tcW w:type="dxa" w:w="1800"/>
            <w:tcBorders>
              <w:top w:val="single" w:color="DDDDDD" w:sz="1"/>
              <w:left w:val="single" w:color="DDDDDD" w:sz="1"/>
              <w:bottom w:val="single" w:color="DDDDDD" w:sz="1"/>
              <w:right w:val="single" w:color="DDDDDD" w:sz="1"/>
            </w:tcBorders>
            <w:shd w:fill="F8D7DA" w:val="clear"/>
            <w:tcMar>
              <w:top w:type="dxa" w:w="80"/>
              <w:left w:type="dxa" w:w="120"/>
              <w:bottom w:type="dxa" w:w="80"/>
              <w:right w:type="dxa" w:w="120"/>
            </w:tcMar>
          </w:tcPr>
          <w:p>
            <w:r>
              <w:rPr>
                <w:rFonts w:ascii="Arial" w:cs="Arial" w:eastAsia="Arial" w:hAnsi="Arial"/>
                <w:b/>
                <w:bCs/>
                <w:color w:val="721C24"/>
                <w:sz w:val="20"/>
                <w:szCs w:val="20"/>
              </w:rPr>
              <w:t xml:space="preserve">6-12 Months</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1A2E"/>
                <w:sz w:val="20"/>
                <w:szCs w:val="20"/>
              </w:rPr>
              <w:t xml:space="preserve">SOC 2 Type II certification (Strategy 7)</w:t>
            </w:r>
          </w:p>
          <w:p>
            <w:pPr>
              <w:pStyle w:val="ListParagraph"/>
              <w:numPr>
                <w:ilvl w:val="0"/>
                <w:numId w:val="2"/>
              </w:numPr>
              <w:spacing w:after="40" w:before="40"/>
            </w:pPr>
            <w:r>
              <w:rPr>
                <w:rFonts w:ascii="Arial" w:cs="Arial" w:eastAsia="Arial" w:hAnsi="Arial"/>
                <w:color w:val="1A1A2E"/>
                <w:sz w:val="20"/>
                <w:szCs w:val="20"/>
              </w:rPr>
              <w:t xml:space="preserve">Regulatory Data API launch (Strategy 5)</w:t>
            </w:r>
          </w:p>
          <w:p>
            <w:pPr>
              <w:pStyle w:val="ListParagraph"/>
              <w:numPr>
                <w:ilvl w:val="0"/>
                <w:numId w:val="2"/>
              </w:numPr>
              <w:spacing w:after="40" w:before="40"/>
            </w:pPr>
            <w:r>
              <w:rPr>
                <w:rFonts w:ascii="Arial" w:cs="Arial" w:eastAsia="Arial" w:hAnsi="Arial"/>
                <w:color w:val="1A1A2E"/>
                <w:sz w:val="20"/>
                <w:szCs w:val="20"/>
              </w:rPr>
              <w:t xml:space="preserve">Community platform + monthly roundtable (Strategy 6)</w:t>
            </w:r>
          </w:p>
          <w:p>
            <w:pPr>
              <w:pStyle w:val="ListParagraph"/>
              <w:numPr>
                <w:ilvl w:val="0"/>
                <w:numId w:val="2"/>
              </w:numPr>
              <w:spacing w:after="40" w:before="40"/>
            </w:pPr>
            <w:r>
              <w:rPr>
                <w:rFonts w:ascii="Arial" w:cs="Arial" w:eastAsia="Arial" w:hAnsi="Arial"/>
                <w:color w:val="1A1A2E"/>
                <w:sz w:val="20"/>
                <w:szCs w:val="20"/>
              </w:rPr>
              <w:t xml:space="preserve">AML/CFT vertical module (Strategy 8)</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Creates institutional barriers, network effects, and data licensing revenue.</w:t>
            </w:r>
          </w:p>
        </w:tc>
      </w:tr>
    </w:tbl>
    <w:p>
      <w:pPr>
        <w:spacing w:after="160" w:before="0"/>
      </w:pPr>
      <w:r>
        <w:t xml:space="preserve"/>
      </w:r>
    </w:p>
    <w:p>
      <w:pPr>
        <w:pStyle w:val="Heading1"/>
        <w:pBdr>
          <w:bottom w:val="single" w:color="2E5FA3" w:sz="8" w:space="6"/>
        </w:pBdr>
        <w:spacing w:after="160" w:before="400"/>
      </w:pPr>
      <w:r>
        <w:rPr>
          <w:rFonts w:ascii="Arial" w:cs="Arial" w:eastAsia="Arial" w:hAnsi="Arial"/>
          <w:b/>
          <w:bCs/>
          <w:color w:val="1B3A6B"/>
          <w:sz w:val="36"/>
          <w:szCs w:val="36"/>
        </w:rPr>
        <w:t xml:space="preserve">7. Final Verdict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12"/>
              <w:left w:val="single" w:color="E63946" w:sz="12"/>
              <w:bottom w:val="single" w:color="E63946" w:sz="12"/>
              <w:right w:val="single" w:color="E63946" w:sz="12"/>
            </w:tcBorders>
            <w:shd w:fill="1B3A6B" w:val="clear"/>
            <w:tcMar>
              <w:top w:type="dxa" w:w="240"/>
              <w:left w:type="dxa" w:w="280"/>
              <w:bottom w:type="dxa" w:w="240"/>
              <w:right w:type="dxa" w:w="280"/>
            </w:tcMar>
          </w:tcPr>
          <w:p>
            <w:pPr>
              <w:spacing w:after="120" w:before="0"/>
              <w:jc w:val="center"/>
            </w:pPr>
            <w:r>
              <w:rPr>
                <w:rFonts w:ascii="Arial" w:cs="Arial" w:eastAsia="Arial" w:hAnsi="Arial"/>
                <w:b/>
                <w:bCs/>
                <w:color w:val="FFFFFF"/>
                <w:sz w:val="28"/>
                <w:szCs w:val="28"/>
              </w:rPr>
              <w:t xml:space="preserve">Can AI Fully Replace Regula?</w:t>
            </w:r>
          </w:p>
          <w:p>
            <w:pPr>
              <w:spacing w:after="120" w:before="0"/>
              <w:jc w:val="center"/>
            </w:pPr>
            <w:r>
              <w:rPr>
                <w:rFonts w:ascii="Arial" w:cs="Arial" w:eastAsia="Arial" w:hAnsi="Arial"/>
                <w:b/>
                <w:bCs/>
                <w:color w:val="A8C8FF"/>
                <w:sz w:val="24"/>
                <w:szCs w:val="24"/>
              </w:rPr>
              <w:t xml:space="preserve">TODAY: NO.  |  IN 24 MONTHS WITHOUT MOAT INVESTMENT: PROBABLY.</w:t>
            </w:r>
          </w:p>
          <w:p>
            <w:pPr>
              <w:spacing w:after="0" w:before="0"/>
              <w:jc w:val="center"/>
            </w:pPr>
            <w:r>
              <w:rPr>
                <w:rFonts w:ascii="Arial" w:cs="Arial" w:eastAsia="Arial" w:hAnsi="Arial"/>
                <w:i/>
                <w:iCs/>
                <w:color w:val="CCDDFF"/>
                <w:sz w:val="21"/>
                <w:szCs w:val="21"/>
              </w:rPr>
              <w:t xml:space="preserve">Regula's survival depends on converting its temporary technical advantages into permanent institutional, relational, and data moats.</w:t>
            </w:r>
          </w:p>
        </w:tc>
      </w:tr>
    </w:tbl>
    <w:p>
      <w:pPr>
        <w:spacing w:after="120" w:before="0"/>
      </w:pPr>
      <w:r>
        <w:t xml:space="preserve"/>
      </w:r>
    </w:p>
    <w:p>
      <w:pPr>
        <w:spacing w:after="120" w:before="80"/>
      </w:pPr>
      <w:r>
        <w:rPr>
          <w:rFonts w:ascii="Arial" w:cs="Arial" w:eastAsia="Arial" w:hAnsi="Arial"/>
          <w:color w:val="1A1A2E"/>
          <w:sz w:val="22"/>
          <w:szCs w:val="22"/>
        </w:rPr>
        <w:t xml:space="preserve">Regula is not a commodity. It is a workflow-embedded, archive-backed, region-specialised operations system. But the features that make it useful today — AI summarisation, change detection, multi-channel alerts — are rapidly becoming table stakes that any sufficiently motivated team can assemble from AI tools and open-source components.</w:t>
      </w:r>
    </w:p>
    <w:p>
      <w:pPr>
        <w:spacing w:after="80" w:before="0"/>
      </w:pPr>
      <w:r>
        <w:t xml:space="preserve"/>
      </w:r>
    </w:p>
    <w:p>
      <w:pPr>
        <w:spacing w:after="120" w:before="80"/>
      </w:pPr>
      <w:r>
        <w:rPr>
          <w:rFonts w:ascii="Arial" w:cs="Arial" w:eastAsia="Arial" w:hAnsi="Arial"/>
          <w:color w:val="1A1A2E"/>
          <w:sz w:val="22"/>
          <w:szCs w:val="22"/>
        </w:rPr>
        <w:t xml:space="preserve">The window to build un-copyable moats is 12-18 months. The strategies in this report — becoming the system of record, building regulatory relationships, launching proprietary AI intelligence, deepening workflow integrations, and owning the emerging-market data layer — are the path from 'useful tool' to 'irreplaceable infrastructure.'</w:t>
      </w:r>
    </w:p>
    <w:p>
      <w:pPr>
        <w:spacing w:after="80" w:before="0"/>
      </w:pPr>
      <w:r>
        <w:t xml:space="preserve"/>
      </w:r>
    </w:p>
    <w:p>
      <w:pPr>
        <w:spacing w:after="120" w:before="80"/>
      </w:pPr>
      <w:r>
        <w:rPr>
          <w:rFonts w:ascii="Arial" w:cs="Arial" w:eastAsia="Arial" w:hAnsi="Arial"/>
          <w:color w:val="1A1A2E"/>
          <w:sz w:val="22"/>
          <w:szCs w:val="22"/>
        </w:rPr>
        <w:t xml:space="preserve">Regula's tagline says it well: 'A regulatory operations system, not a document watcher.' The company's survival strategy is to make that difference real, deep, and defensible — every quarter, in every product decision.</w:t>
      </w:r>
    </w:p>
    <w:p>
      <w:pPr>
        <w:spacing w:after="160" w:before="0"/>
      </w:pPr>
      <w:r>
        <w:t xml:space="preserve"/>
      </w:r>
    </w:p>
    <w:p>
      <w:pPr>
        <w:pBdr>
          <w:bottom w:val="single" w:color="D6E4F7" w:sz="4" w:space="4"/>
        </w:pBdr>
        <w:spacing w:after="200" w:before="200"/>
      </w:pPr>
      <w:r>
        <w:t xml:space="preserve"/>
      </w:r>
    </w:p>
    <w:p>
      <w:pPr>
        <w:spacing w:after="0" w:before="120"/>
        <w:jc w:val="center"/>
      </w:pPr>
      <w:r>
        <w:rPr>
          <w:rFonts w:ascii="Arial" w:cs="Arial" w:eastAsia="Arial" w:hAnsi="Arial"/>
          <w:i/>
          <w:iCs/>
          <w:color w:val="888888"/>
          <w:sz w:val="18"/>
          <w:szCs w:val="18"/>
        </w:rPr>
        <w:t xml:space="preserve">Prepared by Claude (Anthropic)  |  April 2026  |  Based on public product analysis of regula.mushoodhanif.com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4"/>
      </w:pBdr>
      <w:spacing w:before="80"/>
    </w:pPr>
    <w:r>
      <w:rPr>
        <w:rFonts w:ascii="Arial" w:cs="Arial" w:eastAsia="Arial" w:hAnsi="Arial"/>
        <w:color w:val="888888"/>
        <w:sz w:val="18"/>
        <w:szCs w:val="18"/>
      </w:rPr>
      <w:t xml:space="preserve">Regula Strategic Analysis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regula.mushoodhanif.com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D6E4F7"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2E5FA3"/>
              <w:sz w:val="18"/>
              <w:szCs w:val="18"/>
            </w:rPr>
            <w:t xml:space="preserve">REGULA — AI MOAT ANALYSIS &amp; SURVIVAL STRATEGY</w:t>
          </w:r>
        </w:p>
      </w:tc>
      <w:tc>
        <w:tcPr>
          <w:tcW w:type="dxa" w:w="24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999999"/>
              <w:sz w:val="18"/>
              <w:szCs w:val="18"/>
            </w:rPr>
            <w:t xml:space="preserve">CONFIDENTIAL | 2026</w:t>
          </w:r>
        </w:p>
      </w:tc>
    </w:tr>
  </w:tbl>
  <w:p>
    <w:pPr>
      <w:spacing w:after="6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2026-04-04T23:40:39.105Z</dcterms:created>
  <dcterms:modified xsi:type="dcterms:W3CDTF">2026-04-04T23:40:39.106Z</dcterms:modified>
</cp:coreProperties>
</file>

<file path=docProps/custom.xml><?xml version="1.0" encoding="utf-8"?>
<Properties xmlns="http://schemas.openxmlformats.org/officeDocument/2006/custom-properties" xmlns:vt="http://schemas.openxmlformats.org/officeDocument/2006/docPropsVTypes"/>
</file>