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C557E">
      <w:pPr>
        <w:spacing w:after="40"/>
      </w:pPr>
      <w:r>
        <w:rPr>
          <w:b/>
          <w:bCs/>
          <w:color w:val="595959"/>
          <w:sz w:val="20"/>
          <w:szCs w:val="20"/>
        </w:rPr>
        <w:t>WOMEN'S CLOTHING E-COMMERCE</w:t>
      </w:r>
    </w:p>
    <w:p w14:paraId="7FB4C0DA">
      <w:pPr>
        <w:pBdr>
          <w:bottom w:val="single" w:color="2E74B5" w:sz="12" w:space="4"/>
        </w:pBdr>
        <w:spacing w:after="300"/>
      </w:pPr>
      <w:r>
        <w:rPr>
          <w:b/>
          <w:bCs/>
          <w:color w:val="1F3864"/>
          <w:sz w:val="40"/>
          <w:szCs w:val="40"/>
        </w:rPr>
        <w:t>Business Questions &amp; Data-Driven Answers</w:t>
      </w:r>
    </w:p>
    <w:p w14:paraId="70B683EE">
      <w:pPr>
        <w:pBdr>
          <w:bottom w:val="single" w:color="2E74B5" w:sz="6" w:space="4"/>
        </w:pBdr>
        <w:spacing w:before="360" w:after="100"/>
      </w:pPr>
      <w:r>
        <w:rPr>
          <w:b/>
          <w:bCs/>
          <w:color w:val="2E74B5"/>
          <w:sz w:val="24"/>
          <w:szCs w:val="24"/>
        </w:rPr>
        <w:t xml:space="preserve">Q1. </w:t>
      </w:r>
      <w:r>
        <w:rPr>
          <w:b/>
          <w:bCs/>
          <w:color w:val="1F3864"/>
          <w:sz w:val="24"/>
          <w:szCs w:val="24"/>
        </w:rPr>
        <w:t>Which product department delivers the strongest overall performance?</w:t>
      </w:r>
    </w:p>
    <w:p w14:paraId="78ADAB1A">
      <w:pPr>
        <w:spacing w:before="120" w:after="60"/>
      </w:pPr>
      <w:r>
        <w:rPr>
          <w:b/>
          <w:bCs/>
          <w:color w:val="2E74B5"/>
          <w:sz w:val="18"/>
          <w:szCs w:val="18"/>
        </w:rPr>
        <w:t>ANSWER</w:t>
      </w:r>
    </w:p>
    <w:p w14:paraId="3A38281A">
      <w:pPr>
        <w:spacing w:after="120"/>
      </w:pPr>
      <w:r>
        <w:rPr>
          <w:color w:val="222222"/>
          <w:sz w:val="22"/>
          <w:szCs w:val="22"/>
        </w:rPr>
        <w:t>The Tops department is the clear leader across every performance metric tracked in the Analysis sheet. It accounts for 10,455 reviews — the highest review volume of any department — alongside 25,407 cumulative positive-feedback votes and 8,520 “recommended” indications. This combination of high volume, high engagement, and a strong recommend count marks Tops as the workbook's top-performing department and the current backbone of customer satisfaction.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2FA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tcPr>
          <w:p w14:paraId="301E15F8">
            <w:r>
              <w:rPr>
                <w:b/>
                <w:bCs/>
                <w:color w:val="FFFFFF"/>
                <w:sz w:val="20"/>
                <w:szCs w:val="20"/>
              </w:rPr>
              <w:t>Metric</w:t>
            </w:r>
          </w:p>
        </w:tc>
        <w:tc>
          <w:tcPr>
            <w:tcW w:w="4500" w:type="dxa"/>
            <w:shd w:val="clear" w:color="auto" w:fill="1F3864"/>
            <w:tcMar>
              <w:top w:w="80" w:type="dxa"/>
              <w:left w:w="100" w:type="dxa"/>
              <w:bottom w:w="80" w:type="dxa"/>
              <w:right w:w="100" w:type="dxa"/>
            </w:tcMar>
          </w:tcPr>
          <w:p w14:paraId="2B42C17E">
            <w:r>
              <w:rPr>
                <w:b/>
                <w:bCs/>
                <w:color w:val="FFFFFF"/>
                <w:sz w:val="20"/>
                <w:szCs w:val="20"/>
              </w:rPr>
              <w:t>Value</w:t>
            </w:r>
          </w:p>
        </w:tc>
      </w:tr>
      <w:tr w14:paraId="728B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10D0C554">
            <w:r>
              <w:rPr>
                <w:sz w:val="20"/>
                <w:szCs w:val="20"/>
              </w:rPr>
              <w:t>Reviews (Count of Department Name)</w:t>
            </w:r>
          </w:p>
        </w:tc>
        <w:tc>
          <w:tcPr>
            <w:tcW w:w="4500" w:type="dxa"/>
            <w:shd w:val="clear" w:color="auto" w:fill="F2F6FA"/>
            <w:tcMar>
              <w:top w:w="60" w:type="dxa"/>
              <w:left w:w="100" w:type="dxa"/>
              <w:bottom w:w="60" w:type="dxa"/>
              <w:right w:w="100" w:type="dxa"/>
            </w:tcMar>
          </w:tcPr>
          <w:p w14:paraId="26E35341">
            <w:r>
              <w:rPr>
                <w:sz w:val="20"/>
                <w:szCs w:val="20"/>
              </w:rPr>
              <w:t>10,455</w:t>
            </w:r>
          </w:p>
        </w:tc>
      </w:tr>
      <w:tr w14:paraId="6DFB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60" w:type="dxa"/>
              <w:left w:w="100" w:type="dxa"/>
              <w:bottom w:w="60" w:type="dxa"/>
              <w:right w:w="100" w:type="dxa"/>
            </w:tcMar>
          </w:tcPr>
          <w:p w14:paraId="7BA73D8E">
            <w:r>
              <w:rPr>
                <w:sz w:val="20"/>
                <w:szCs w:val="20"/>
              </w:rPr>
              <w:t>Sum of Positive Feedback Count</w:t>
            </w:r>
          </w:p>
        </w:tc>
        <w:tc>
          <w:tcPr>
            <w:tcW w:w="4500" w:type="dxa"/>
            <w:shd w:val="clear" w:color="auto" w:fill="FFFFFF"/>
            <w:tcMar>
              <w:top w:w="60" w:type="dxa"/>
              <w:left w:w="100" w:type="dxa"/>
              <w:bottom w:w="60" w:type="dxa"/>
              <w:right w:w="100" w:type="dxa"/>
            </w:tcMar>
          </w:tcPr>
          <w:p w14:paraId="6FD6650D">
            <w:r>
              <w:rPr>
                <w:sz w:val="20"/>
                <w:szCs w:val="20"/>
              </w:rPr>
              <w:t>25,407</w:t>
            </w:r>
          </w:p>
        </w:tc>
      </w:tr>
      <w:tr w14:paraId="1959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3B3E36BD">
            <w:r>
              <w:rPr>
                <w:sz w:val="20"/>
                <w:szCs w:val="20"/>
              </w:rPr>
              <w:t>Sum of Recommended IND</w:t>
            </w:r>
          </w:p>
        </w:tc>
        <w:tc>
          <w:tcPr>
            <w:tcW w:w="4500" w:type="dxa"/>
            <w:shd w:val="clear" w:color="auto" w:fill="F2F6FA"/>
            <w:tcMar>
              <w:top w:w="60" w:type="dxa"/>
              <w:left w:w="100" w:type="dxa"/>
              <w:bottom w:w="60" w:type="dxa"/>
              <w:right w:w="100" w:type="dxa"/>
            </w:tcMar>
          </w:tcPr>
          <w:p w14:paraId="16B8DF91">
            <w:r>
              <w:rPr>
                <w:sz w:val="20"/>
                <w:szCs w:val="20"/>
              </w:rPr>
              <w:t>8,520</w:t>
            </w:r>
          </w:p>
        </w:tc>
      </w:tr>
    </w:tbl>
    <w:p w14:paraId="7F88DDDF">
      <w:pPr>
        <w:pBdr>
          <w:bottom w:val="single" w:color="2E74B5" w:sz="6" w:space="4"/>
        </w:pBdr>
        <w:spacing w:before="360" w:after="100"/>
      </w:pPr>
      <w:r>
        <w:rPr>
          <w:b/>
          <w:bCs/>
          <w:color w:val="2E74B5"/>
          <w:sz w:val="24"/>
          <w:szCs w:val="24"/>
        </w:rPr>
        <w:t xml:space="preserve">Q2. </w:t>
      </w:r>
      <w:r>
        <w:rPr>
          <w:b/>
          <w:bCs/>
          <w:color w:val="1F3864"/>
          <w:sz w:val="24"/>
          <w:szCs w:val="24"/>
        </w:rPr>
        <w:t>Does a customer's star rating predict whether they will recommend the product?</w:t>
      </w:r>
    </w:p>
    <w:p w14:paraId="568DD529">
      <w:pPr>
        <w:spacing w:before="120" w:after="60"/>
      </w:pPr>
      <w:r>
        <w:rPr>
          <w:b/>
          <w:bCs/>
          <w:color w:val="2E74B5"/>
          <w:sz w:val="18"/>
          <w:szCs w:val="18"/>
        </w:rPr>
        <w:t>ANSWER</w:t>
      </w:r>
    </w:p>
    <w:p w14:paraId="5D139761">
      <w:pPr>
        <w:spacing w:after="120"/>
      </w:pPr>
      <w:r>
        <w:rPr>
          <w:color w:val="222222"/>
          <w:sz w:val="22"/>
          <w:szCs w:val="22"/>
        </w:rPr>
        <w:t>Yes — the relationship is strong and almost linear. The “Average of Recommended IND” by rating shows recommendation likelihood rising sharply with each additional star, from just 1.9% at 1-star up to 99.8% at 5-star. This confirms the star rating is a reliable, near-direct proxy for purchase satisfaction and can be used confidently to flag at-risk products before returns or complaints escalate.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6B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tcPr>
          <w:p w14:paraId="6B63141B">
            <w:r>
              <w:rPr>
                <w:b/>
                <w:bCs/>
                <w:color w:val="FFFFFF"/>
                <w:sz w:val="20"/>
                <w:szCs w:val="20"/>
              </w:rPr>
              <w:t>Star Rating</w:t>
            </w:r>
          </w:p>
        </w:tc>
        <w:tc>
          <w:tcPr>
            <w:tcW w:w="4500" w:type="dxa"/>
            <w:shd w:val="clear" w:color="auto" w:fill="1F3864"/>
            <w:tcMar>
              <w:top w:w="80" w:type="dxa"/>
              <w:left w:w="100" w:type="dxa"/>
              <w:bottom w:w="80" w:type="dxa"/>
              <w:right w:w="100" w:type="dxa"/>
            </w:tcMar>
          </w:tcPr>
          <w:p w14:paraId="0A0912E9">
            <w:r>
              <w:rPr>
                <w:b/>
                <w:bCs/>
                <w:color w:val="FFFFFF"/>
                <w:sz w:val="20"/>
                <w:szCs w:val="20"/>
              </w:rPr>
              <w:t>Avg. of Recommended IND (Recommend Rate)</w:t>
            </w:r>
          </w:p>
        </w:tc>
      </w:tr>
      <w:tr w14:paraId="32A5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774B5978">
            <w:r>
              <w:rPr>
                <w:sz w:val="20"/>
                <w:szCs w:val="20"/>
              </w:rPr>
              <w:t>1 star</w:t>
            </w:r>
          </w:p>
        </w:tc>
        <w:tc>
          <w:tcPr>
            <w:tcW w:w="4500" w:type="dxa"/>
            <w:shd w:val="clear" w:color="auto" w:fill="F2F6FA"/>
            <w:tcMar>
              <w:top w:w="60" w:type="dxa"/>
              <w:left w:w="100" w:type="dxa"/>
              <w:bottom w:w="60" w:type="dxa"/>
              <w:right w:w="100" w:type="dxa"/>
            </w:tcMar>
          </w:tcPr>
          <w:p w14:paraId="6766B951">
            <w:r>
              <w:rPr>
                <w:sz w:val="20"/>
                <w:szCs w:val="20"/>
              </w:rPr>
              <w:t>1.9%</w:t>
            </w:r>
          </w:p>
        </w:tc>
      </w:tr>
      <w:tr w14:paraId="2261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60" w:type="dxa"/>
              <w:left w:w="100" w:type="dxa"/>
              <w:bottom w:w="60" w:type="dxa"/>
              <w:right w:w="100" w:type="dxa"/>
            </w:tcMar>
          </w:tcPr>
          <w:p w14:paraId="544CA474">
            <w:r>
              <w:rPr>
                <w:sz w:val="20"/>
                <w:szCs w:val="20"/>
              </w:rPr>
              <w:t>2 stars</w:t>
            </w:r>
          </w:p>
        </w:tc>
        <w:tc>
          <w:tcPr>
            <w:tcW w:w="4500" w:type="dxa"/>
            <w:shd w:val="clear" w:color="auto" w:fill="FFFFFF"/>
            <w:tcMar>
              <w:top w:w="60" w:type="dxa"/>
              <w:left w:w="100" w:type="dxa"/>
              <w:bottom w:w="60" w:type="dxa"/>
              <w:right w:w="100" w:type="dxa"/>
            </w:tcMar>
          </w:tcPr>
          <w:p w14:paraId="77284AA3">
            <w:r>
              <w:rPr>
                <w:sz w:val="20"/>
                <w:szCs w:val="20"/>
              </w:rPr>
              <w:t>6.0%</w:t>
            </w:r>
          </w:p>
        </w:tc>
      </w:tr>
      <w:tr w14:paraId="0DA6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1F761075">
            <w:r>
              <w:rPr>
                <w:sz w:val="20"/>
                <w:szCs w:val="20"/>
              </w:rPr>
              <w:t>3 stars</w:t>
            </w:r>
          </w:p>
        </w:tc>
        <w:tc>
          <w:tcPr>
            <w:tcW w:w="4500" w:type="dxa"/>
            <w:shd w:val="clear" w:color="auto" w:fill="F2F6FA"/>
            <w:tcMar>
              <w:top w:w="60" w:type="dxa"/>
              <w:left w:w="100" w:type="dxa"/>
              <w:bottom w:w="60" w:type="dxa"/>
              <w:right w:w="100" w:type="dxa"/>
            </w:tcMar>
          </w:tcPr>
          <w:p w14:paraId="0C75DD03">
            <w:r>
              <w:rPr>
                <w:sz w:val="20"/>
                <w:szCs w:val="20"/>
              </w:rPr>
              <w:t>41.4%</w:t>
            </w:r>
          </w:p>
        </w:tc>
      </w:tr>
      <w:tr w14:paraId="365E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60" w:type="dxa"/>
              <w:left w:w="100" w:type="dxa"/>
              <w:bottom w:w="60" w:type="dxa"/>
              <w:right w:w="100" w:type="dxa"/>
            </w:tcMar>
          </w:tcPr>
          <w:p w14:paraId="20FD062A">
            <w:r>
              <w:rPr>
                <w:sz w:val="20"/>
                <w:szCs w:val="20"/>
              </w:rPr>
              <w:t>4 stars</w:t>
            </w:r>
          </w:p>
        </w:tc>
        <w:tc>
          <w:tcPr>
            <w:tcW w:w="4500" w:type="dxa"/>
            <w:shd w:val="clear" w:color="auto" w:fill="FFFFFF"/>
            <w:tcMar>
              <w:top w:w="60" w:type="dxa"/>
              <w:left w:w="100" w:type="dxa"/>
              <w:bottom w:w="60" w:type="dxa"/>
              <w:right w:w="100" w:type="dxa"/>
            </w:tcMar>
          </w:tcPr>
          <w:p w14:paraId="63EA72FF">
            <w:r>
              <w:rPr>
                <w:sz w:val="20"/>
                <w:szCs w:val="20"/>
              </w:rPr>
              <w:t>96.7%</w:t>
            </w:r>
          </w:p>
        </w:tc>
      </w:tr>
      <w:tr w14:paraId="337F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442186B7">
            <w:r>
              <w:rPr>
                <w:sz w:val="20"/>
                <w:szCs w:val="20"/>
              </w:rPr>
              <w:t>5 stars</w:t>
            </w:r>
          </w:p>
        </w:tc>
        <w:tc>
          <w:tcPr>
            <w:tcW w:w="4500" w:type="dxa"/>
            <w:shd w:val="clear" w:color="auto" w:fill="F2F6FA"/>
            <w:tcMar>
              <w:top w:w="60" w:type="dxa"/>
              <w:left w:w="100" w:type="dxa"/>
              <w:bottom w:w="60" w:type="dxa"/>
              <w:right w:w="100" w:type="dxa"/>
            </w:tcMar>
          </w:tcPr>
          <w:p w14:paraId="5D0E96DF">
            <w:r>
              <w:rPr>
                <w:sz w:val="20"/>
                <w:szCs w:val="20"/>
              </w:rPr>
              <w:t>99.8%</w:t>
            </w:r>
          </w:p>
        </w:tc>
      </w:tr>
    </w:tbl>
    <w:p w14:paraId="73D33EAA">
      <w:pPr>
        <w:pBdr>
          <w:bottom w:val="single" w:color="2E74B5" w:sz="6" w:space="4"/>
        </w:pBdr>
        <w:spacing w:before="360" w:after="100"/>
      </w:pPr>
      <w:r>
        <w:rPr>
          <w:b/>
          <w:bCs/>
          <w:color w:val="2E74B5"/>
          <w:sz w:val="24"/>
          <w:szCs w:val="24"/>
        </w:rPr>
        <w:t xml:space="preserve">Q3. </w:t>
      </w:r>
      <w:r>
        <w:rPr>
          <w:b/>
          <w:bCs/>
          <w:color w:val="1F3864"/>
          <w:sz w:val="24"/>
          <w:szCs w:val="24"/>
        </w:rPr>
        <w:t>Which product classes generate the most — and the least — customer engagement?</w:t>
      </w:r>
    </w:p>
    <w:p w14:paraId="22E8B247">
      <w:pPr>
        <w:spacing w:before="120" w:after="60"/>
      </w:pPr>
      <w:r>
        <w:rPr>
          <w:b/>
          <w:bCs/>
          <w:color w:val="2E74B5"/>
          <w:sz w:val="18"/>
          <w:szCs w:val="18"/>
        </w:rPr>
        <w:t>ANSWER</w:t>
      </w:r>
    </w:p>
    <w:p w14:paraId="2B082D36">
      <w:pPr>
        <w:spacing w:after="120"/>
      </w:pPr>
      <w:r>
        <w:rPr>
          <w:color w:val="222222"/>
          <w:sz w:val="22"/>
          <w:szCs w:val="22"/>
        </w:rPr>
        <w:t>Engagement, measured by the Sum of Positive Feedback Count per class, is heavily concentrated in a small number of classes. Dresses (19,510), Knits (11,598), and Blouses (8,440) together generate the bulk of positive feedback across the catalogue. At the opposite end, Casual Bottoms and Chemises each recorded a sum of 0, and the unlabelled “Undefined” class recorded only 7, indicating these lines are either very low-volume, mis-categorised, or simply not resonating with shoppers.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056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tcPr>
          <w:p w14:paraId="160FCB30">
            <w:r>
              <w:rPr>
                <w:b/>
                <w:bCs/>
                <w:color w:val="FFFFFF"/>
                <w:sz w:val="20"/>
                <w:szCs w:val="20"/>
              </w:rPr>
              <w:t>Top 3 Classes (Positive Feedback)</w:t>
            </w:r>
          </w:p>
        </w:tc>
        <w:tc>
          <w:tcPr>
            <w:tcW w:w="4500" w:type="dxa"/>
            <w:shd w:val="clear" w:color="auto" w:fill="1F3864"/>
            <w:tcMar>
              <w:top w:w="80" w:type="dxa"/>
              <w:left w:w="100" w:type="dxa"/>
              <w:bottom w:w="80" w:type="dxa"/>
              <w:right w:w="100" w:type="dxa"/>
            </w:tcMar>
          </w:tcPr>
          <w:p w14:paraId="55181C8D">
            <w:r>
              <w:rPr>
                <w:b/>
                <w:bCs/>
                <w:color w:val="FFFFFF"/>
                <w:sz w:val="20"/>
                <w:szCs w:val="20"/>
              </w:rPr>
              <w:t>Sum</w:t>
            </w:r>
          </w:p>
        </w:tc>
      </w:tr>
      <w:tr w14:paraId="55DE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364733AE">
            <w:r>
              <w:rPr>
                <w:sz w:val="20"/>
                <w:szCs w:val="20"/>
              </w:rPr>
              <w:t>Dresses</w:t>
            </w:r>
          </w:p>
        </w:tc>
        <w:tc>
          <w:tcPr>
            <w:tcW w:w="4500" w:type="dxa"/>
            <w:shd w:val="clear" w:color="auto" w:fill="F2F6FA"/>
            <w:tcMar>
              <w:top w:w="60" w:type="dxa"/>
              <w:left w:w="100" w:type="dxa"/>
              <w:bottom w:w="60" w:type="dxa"/>
              <w:right w:w="100" w:type="dxa"/>
            </w:tcMar>
          </w:tcPr>
          <w:p w14:paraId="2A436858">
            <w:r>
              <w:rPr>
                <w:sz w:val="20"/>
                <w:szCs w:val="20"/>
              </w:rPr>
              <w:t>19,510</w:t>
            </w:r>
          </w:p>
        </w:tc>
      </w:tr>
      <w:tr w14:paraId="04A7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60" w:type="dxa"/>
              <w:left w:w="100" w:type="dxa"/>
              <w:bottom w:w="60" w:type="dxa"/>
              <w:right w:w="100" w:type="dxa"/>
            </w:tcMar>
          </w:tcPr>
          <w:p w14:paraId="2A1D5F70">
            <w:r>
              <w:rPr>
                <w:sz w:val="20"/>
                <w:szCs w:val="20"/>
              </w:rPr>
              <w:t>Knits</w:t>
            </w:r>
          </w:p>
        </w:tc>
        <w:tc>
          <w:tcPr>
            <w:tcW w:w="4500" w:type="dxa"/>
            <w:shd w:val="clear" w:color="auto" w:fill="FFFFFF"/>
            <w:tcMar>
              <w:top w:w="60" w:type="dxa"/>
              <w:left w:w="100" w:type="dxa"/>
              <w:bottom w:w="60" w:type="dxa"/>
              <w:right w:w="100" w:type="dxa"/>
            </w:tcMar>
          </w:tcPr>
          <w:p w14:paraId="7E7BFC13">
            <w:r>
              <w:rPr>
                <w:sz w:val="20"/>
                <w:szCs w:val="20"/>
              </w:rPr>
              <w:t>11,598</w:t>
            </w:r>
          </w:p>
        </w:tc>
      </w:tr>
      <w:tr w14:paraId="78FE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65E4970F">
            <w:r>
              <w:rPr>
                <w:sz w:val="20"/>
                <w:szCs w:val="20"/>
              </w:rPr>
              <w:t>Blouses</w:t>
            </w:r>
          </w:p>
        </w:tc>
        <w:tc>
          <w:tcPr>
            <w:tcW w:w="4500" w:type="dxa"/>
            <w:shd w:val="clear" w:color="auto" w:fill="F2F6FA"/>
            <w:tcMar>
              <w:top w:w="60" w:type="dxa"/>
              <w:left w:w="100" w:type="dxa"/>
              <w:bottom w:w="60" w:type="dxa"/>
              <w:right w:w="100" w:type="dxa"/>
            </w:tcMar>
          </w:tcPr>
          <w:p w14:paraId="0612A923">
            <w:r>
              <w:rPr>
                <w:sz w:val="20"/>
                <w:szCs w:val="20"/>
              </w:rPr>
              <w:t>8,440</w:t>
            </w:r>
          </w:p>
        </w:tc>
      </w:tr>
      <w:tr w14:paraId="30B5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80" w:type="dxa"/>
              <w:left w:w="100" w:type="dxa"/>
              <w:bottom w:w="80" w:type="dxa"/>
              <w:right w:w="100" w:type="dxa"/>
            </w:tcMar>
          </w:tcPr>
          <w:p w14:paraId="5FC9B92D">
            <w:r>
              <w:rPr>
                <w:b/>
                <w:bCs/>
                <w:color w:val="FFFFFF"/>
                <w:sz w:val="20"/>
                <w:szCs w:val="20"/>
              </w:rPr>
              <w:t>Bottom 3 Classes (Positive Feedback)</w:t>
            </w:r>
          </w:p>
        </w:tc>
        <w:tc>
          <w:tcPr>
            <w:tcW w:w="4500" w:type="dxa"/>
            <w:shd w:val="clear" w:color="auto" w:fill="1F3864"/>
            <w:tcMar>
              <w:top w:w="80" w:type="dxa"/>
              <w:left w:w="100" w:type="dxa"/>
              <w:bottom w:w="80" w:type="dxa"/>
              <w:right w:w="100" w:type="dxa"/>
            </w:tcMar>
          </w:tcPr>
          <w:p w14:paraId="46B1E2BB">
            <w:r>
              <w:rPr>
                <w:b/>
                <w:bCs/>
                <w:color w:val="FFFFFF"/>
                <w:sz w:val="20"/>
                <w:szCs w:val="20"/>
              </w:rPr>
              <w:t>Sum</w:t>
            </w:r>
          </w:p>
        </w:tc>
      </w:tr>
      <w:tr w14:paraId="4320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33B6864B">
            <w:r>
              <w:rPr>
                <w:sz w:val="20"/>
                <w:szCs w:val="20"/>
              </w:rPr>
              <w:t>Undefined</w:t>
            </w:r>
          </w:p>
        </w:tc>
        <w:tc>
          <w:tcPr>
            <w:tcW w:w="4500" w:type="dxa"/>
            <w:shd w:val="clear" w:color="auto" w:fill="F2F6FA"/>
            <w:tcMar>
              <w:top w:w="60" w:type="dxa"/>
              <w:left w:w="100" w:type="dxa"/>
              <w:bottom w:w="60" w:type="dxa"/>
              <w:right w:w="100" w:type="dxa"/>
            </w:tcMar>
          </w:tcPr>
          <w:p w14:paraId="51161916">
            <w:r>
              <w:rPr>
                <w:sz w:val="20"/>
                <w:szCs w:val="20"/>
              </w:rPr>
              <w:t>7</w:t>
            </w:r>
          </w:p>
        </w:tc>
      </w:tr>
      <w:tr w14:paraId="348B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60" w:type="dxa"/>
              <w:left w:w="100" w:type="dxa"/>
              <w:bottom w:w="60" w:type="dxa"/>
              <w:right w:w="100" w:type="dxa"/>
            </w:tcMar>
          </w:tcPr>
          <w:p w14:paraId="6D99E5DC">
            <w:r>
              <w:rPr>
                <w:sz w:val="20"/>
                <w:szCs w:val="20"/>
              </w:rPr>
              <w:t>Chemises</w:t>
            </w:r>
          </w:p>
        </w:tc>
        <w:tc>
          <w:tcPr>
            <w:tcW w:w="4500" w:type="dxa"/>
            <w:shd w:val="clear" w:color="auto" w:fill="FFFFFF"/>
            <w:tcMar>
              <w:top w:w="60" w:type="dxa"/>
              <w:left w:w="100" w:type="dxa"/>
              <w:bottom w:w="60" w:type="dxa"/>
              <w:right w:w="100" w:type="dxa"/>
            </w:tcMar>
          </w:tcPr>
          <w:p w14:paraId="4B5C9EBD">
            <w:r>
              <w:rPr>
                <w:sz w:val="20"/>
                <w:szCs w:val="20"/>
              </w:rPr>
              <w:t>0</w:t>
            </w:r>
          </w:p>
        </w:tc>
      </w:tr>
      <w:tr w14:paraId="66BB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60" w:type="dxa"/>
              <w:left w:w="100" w:type="dxa"/>
              <w:bottom w:w="60" w:type="dxa"/>
              <w:right w:w="100" w:type="dxa"/>
            </w:tcMar>
          </w:tcPr>
          <w:p w14:paraId="556A9EEF">
            <w:r>
              <w:rPr>
                <w:sz w:val="20"/>
                <w:szCs w:val="20"/>
              </w:rPr>
              <w:t>Casual Bottoms</w:t>
            </w:r>
          </w:p>
        </w:tc>
        <w:tc>
          <w:tcPr>
            <w:tcW w:w="4500" w:type="dxa"/>
            <w:shd w:val="clear" w:color="auto" w:fill="F2F6FA"/>
            <w:tcMar>
              <w:top w:w="60" w:type="dxa"/>
              <w:left w:w="100" w:type="dxa"/>
              <w:bottom w:w="60" w:type="dxa"/>
              <w:right w:w="100" w:type="dxa"/>
            </w:tcMar>
          </w:tcPr>
          <w:p w14:paraId="777727CB">
            <w:r>
              <w:rPr>
                <w:sz w:val="20"/>
                <w:szCs w:val="20"/>
              </w:rPr>
              <w:t>0</w:t>
            </w:r>
          </w:p>
        </w:tc>
      </w:tr>
    </w:tbl>
    <w:p w14:paraId="64FFDBDA">
      <w:pPr>
        <w:pBdr>
          <w:bottom w:val="single" w:color="2E74B5" w:sz="6" w:space="4"/>
        </w:pBdr>
        <w:spacing w:before="360" w:after="100"/>
      </w:pPr>
      <w:r>
        <w:rPr>
          <w:b/>
          <w:bCs/>
          <w:color w:val="2E74B5"/>
          <w:sz w:val="24"/>
          <w:szCs w:val="24"/>
        </w:rPr>
        <w:t xml:space="preserve">Q4. </w:t>
      </w:r>
      <w:r>
        <w:rPr>
          <w:b/>
          <w:bCs/>
          <w:color w:val="1F3864"/>
          <w:sz w:val="24"/>
          <w:szCs w:val="24"/>
        </w:rPr>
        <w:t>How does the likelihood of recommending a product vary by customer age group?</w:t>
      </w:r>
    </w:p>
    <w:p w14:paraId="35BB8AC5">
      <w:pPr>
        <w:spacing w:before="120" w:after="60"/>
      </w:pPr>
      <w:r>
        <w:rPr>
          <w:b/>
          <w:bCs/>
          <w:color w:val="2E74B5"/>
          <w:sz w:val="18"/>
          <w:szCs w:val="18"/>
        </w:rPr>
        <w:t>ANSWER</w:t>
      </w:r>
    </w:p>
    <w:p w14:paraId="3323C0B2">
      <w:pPr>
        <w:spacing w:after="120"/>
      </w:pPr>
      <w:r>
        <w:rPr>
          <w:color w:val="222222"/>
          <w:sz w:val="22"/>
          <w:szCs w:val="22"/>
        </w:rPr>
        <w:t>Recommend rates are fairly consistent across age bands, sitting in an 80–87% range, but the youngest and oldest shoppers stand out as the most likely to recommend. Customers aged 18–24 recommend at the highest rate (86.7%), closely followed by the 65+ group (85.4%). The 25–34 band, the largest single age segment by volume, has the lowest recommend rate of the six bands (80.0%) — worth watching given its size.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D3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0C017E7F">
            <w:r>
              <w:rPr>
                <w:b/>
                <w:bCs/>
                <w:color w:val="FFFFFF"/>
                <w:sz w:val="20"/>
                <w:szCs w:val="20"/>
              </w:rPr>
              <w:t>Age Band</w:t>
            </w:r>
          </w:p>
        </w:tc>
        <w:tc>
          <w:tcPr>
            <w:tcW w:w="3000" w:type="dxa"/>
            <w:shd w:val="clear" w:color="auto" w:fill="1F3864"/>
            <w:tcMar>
              <w:top w:w="80" w:type="dxa"/>
              <w:left w:w="100" w:type="dxa"/>
              <w:bottom w:w="80" w:type="dxa"/>
              <w:right w:w="100" w:type="dxa"/>
            </w:tcMar>
          </w:tcPr>
          <w:p w14:paraId="63DCD8FD">
            <w:r>
              <w:rPr>
                <w:b/>
                <w:bCs/>
                <w:color w:val="FFFFFF"/>
                <w:sz w:val="20"/>
                <w:szCs w:val="20"/>
              </w:rPr>
              <w:t>Reviews</w:t>
            </w:r>
          </w:p>
        </w:tc>
        <w:tc>
          <w:tcPr>
            <w:tcW w:w="3000" w:type="dxa"/>
            <w:shd w:val="clear" w:color="auto" w:fill="1F3864"/>
            <w:tcMar>
              <w:top w:w="80" w:type="dxa"/>
              <w:left w:w="100" w:type="dxa"/>
              <w:bottom w:w="80" w:type="dxa"/>
              <w:right w:w="100" w:type="dxa"/>
            </w:tcMar>
          </w:tcPr>
          <w:p w14:paraId="7B7929C0">
            <w:r>
              <w:rPr>
                <w:b/>
                <w:bCs/>
                <w:color w:val="FFFFFF"/>
                <w:sz w:val="20"/>
                <w:szCs w:val="20"/>
              </w:rPr>
              <w:t>Recommend Rate</w:t>
            </w:r>
          </w:p>
        </w:tc>
      </w:tr>
      <w:tr w14:paraId="0D0B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56F2D661">
            <w:r>
              <w:rPr>
                <w:sz w:val="20"/>
                <w:szCs w:val="20"/>
              </w:rPr>
              <w:t>18–24</w:t>
            </w:r>
          </w:p>
        </w:tc>
        <w:tc>
          <w:tcPr>
            <w:tcW w:w="3000" w:type="dxa"/>
            <w:shd w:val="clear" w:color="auto" w:fill="F2F6FA"/>
            <w:tcMar>
              <w:top w:w="60" w:type="dxa"/>
              <w:left w:w="100" w:type="dxa"/>
              <w:bottom w:w="60" w:type="dxa"/>
              <w:right w:w="100" w:type="dxa"/>
            </w:tcMar>
          </w:tcPr>
          <w:p w14:paraId="2FCC14A6">
            <w:r>
              <w:rPr>
                <w:sz w:val="20"/>
                <w:szCs w:val="20"/>
              </w:rPr>
              <w:t>892</w:t>
            </w:r>
          </w:p>
        </w:tc>
        <w:tc>
          <w:tcPr>
            <w:tcW w:w="3000" w:type="dxa"/>
            <w:shd w:val="clear" w:color="auto" w:fill="F2F6FA"/>
            <w:tcMar>
              <w:top w:w="60" w:type="dxa"/>
              <w:left w:w="100" w:type="dxa"/>
              <w:bottom w:w="60" w:type="dxa"/>
              <w:right w:w="100" w:type="dxa"/>
            </w:tcMar>
          </w:tcPr>
          <w:p w14:paraId="1FFC433F">
            <w:r>
              <w:rPr>
                <w:sz w:val="20"/>
                <w:szCs w:val="20"/>
              </w:rPr>
              <w:t>86.7%</w:t>
            </w:r>
          </w:p>
        </w:tc>
      </w:tr>
      <w:tr w14:paraId="7FE0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5AB426E2">
            <w:r>
              <w:rPr>
                <w:sz w:val="20"/>
                <w:szCs w:val="20"/>
              </w:rPr>
              <w:t>65+</w:t>
            </w:r>
          </w:p>
        </w:tc>
        <w:tc>
          <w:tcPr>
            <w:tcW w:w="3000" w:type="dxa"/>
            <w:shd w:val="clear" w:color="auto" w:fill="FFFFFF"/>
            <w:tcMar>
              <w:top w:w="60" w:type="dxa"/>
              <w:left w:w="100" w:type="dxa"/>
              <w:bottom w:w="60" w:type="dxa"/>
              <w:right w:w="100" w:type="dxa"/>
            </w:tcMar>
          </w:tcPr>
          <w:p w14:paraId="4FAA3B25">
            <w:r>
              <w:rPr>
                <w:sz w:val="20"/>
                <w:szCs w:val="20"/>
              </w:rPr>
              <w:t>1,384</w:t>
            </w:r>
          </w:p>
        </w:tc>
        <w:tc>
          <w:tcPr>
            <w:tcW w:w="3000" w:type="dxa"/>
            <w:shd w:val="clear" w:color="auto" w:fill="FFFFFF"/>
            <w:tcMar>
              <w:top w:w="60" w:type="dxa"/>
              <w:left w:w="100" w:type="dxa"/>
              <w:bottom w:w="60" w:type="dxa"/>
              <w:right w:w="100" w:type="dxa"/>
            </w:tcMar>
          </w:tcPr>
          <w:p w14:paraId="6B847C95">
            <w:r>
              <w:rPr>
                <w:sz w:val="20"/>
                <w:szCs w:val="20"/>
              </w:rPr>
              <w:t>85.4%</w:t>
            </w:r>
          </w:p>
        </w:tc>
      </w:tr>
      <w:tr w14:paraId="33DA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445F66B4">
            <w:r>
              <w:rPr>
                <w:sz w:val="20"/>
                <w:szCs w:val="20"/>
              </w:rPr>
              <w:t>55–64</w:t>
            </w:r>
          </w:p>
        </w:tc>
        <w:tc>
          <w:tcPr>
            <w:tcW w:w="3000" w:type="dxa"/>
            <w:shd w:val="clear" w:color="auto" w:fill="F2F6FA"/>
            <w:tcMar>
              <w:top w:w="60" w:type="dxa"/>
              <w:left w:w="100" w:type="dxa"/>
              <w:bottom w:w="60" w:type="dxa"/>
              <w:right w:w="100" w:type="dxa"/>
            </w:tcMar>
          </w:tcPr>
          <w:p w14:paraId="3B56C536">
            <w:r>
              <w:rPr>
                <w:sz w:val="20"/>
                <w:szCs w:val="20"/>
              </w:rPr>
              <w:t>3,151</w:t>
            </w:r>
          </w:p>
        </w:tc>
        <w:tc>
          <w:tcPr>
            <w:tcW w:w="3000" w:type="dxa"/>
            <w:shd w:val="clear" w:color="auto" w:fill="F2F6FA"/>
            <w:tcMar>
              <w:top w:w="60" w:type="dxa"/>
              <w:left w:w="100" w:type="dxa"/>
              <w:bottom w:w="60" w:type="dxa"/>
              <w:right w:w="100" w:type="dxa"/>
            </w:tcMar>
          </w:tcPr>
          <w:p w14:paraId="27BDC8EB">
            <w:r>
              <w:rPr>
                <w:sz w:val="20"/>
                <w:szCs w:val="20"/>
              </w:rPr>
              <w:t>84.7%</w:t>
            </w:r>
          </w:p>
        </w:tc>
      </w:tr>
      <w:tr w14:paraId="6ECC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31CBE42B">
            <w:r>
              <w:rPr>
                <w:sz w:val="20"/>
                <w:szCs w:val="20"/>
              </w:rPr>
              <w:t>45–54</w:t>
            </w:r>
          </w:p>
        </w:tc>
        <w:tc>
          <w:tcPr>
            <w:tcW w:w="3000" w:type="dxa"/>
            <w:shd w:val="clear" w:color="auto" w:fill="FFFFFF"/>
            <w:tcMar>
              <w:top w:w="60" w:type="dxa"/>
              <w:left w:w="100" w:type="dxa"/>
              <w:bottom w:w="60" w:type="dxa"/>
              <w:right w:w="100" w:type="dxa"/>
            </w:tcMar>
          </w:tcPr>
          <w:p w14:paraId="49257720">
            <w:r>
              <w:rPr>
                <w:sz w:val="20"/>
                <w:szCs w:val="20"/>
              </w:rPr>
              <w:t>5,108</w:t>
            </w:r>
          </w:p>
        </w:tc>
        <w:tc>
          <w:tcPr>
            <w:tcW w:w="3000" w:type="dxa"/>
            <w:shd w:val="clear" w:color="auto" w:fill="FFFFFF"/>
            <w:tcMar>
              <w:top w:w="60" w:type="dxa"/>
              <w:left w:w="100" w:type="dxa"/>
              <w:bottom w:w="60" w:type="dxa"/>
              <w:right w:w="100" w:type="dxa"/>
            </w:tcMar>
          </w:tcPr>
          <w:p w14:paraId="4C03A66B">
            <w:r>
              <w:rPr>
                <w:sz w:val="20"/>
                <w:szCs w:val="20"/>
              </w:rPr>
              <w:t>82.1%</w:t>
            </w:r>
          </w:p>
        </w:tc>
      </w:tr>
      <w:tr w14:paraId="67CC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31248F9C">
            <w:r>
              <w:rPr>
                <w:sz w:val="20"/>
                <w:szCs w:val="20"/>
              </w:rPr>
              <w:t>35–44</w:t>
            </w:r>
          </w:p>
        </w:tc>
        <w:tc>
          <w:tcPr>
            <w:tcW w:w="3000" w:type="dxa"/>
            <w:shd w:val="clear" w:color="auto" w:fill="F2F6FA"/>
            <w:tcMar>
              <w:top w:w="60" w:type="dxa"/>
              <w:left w:w="100" w:type="dxa"/>
              <w:bottom w:w="60" w:type="dxa"/>
              <w:right w:w="100" w:type="dxa"/>
            </w:tcMar>
          </w:tcPr>
          <w:p w14:paraId="59C35873">
            <w:r>
              <w:rPr>
                <w:sz w:val="20"/>
                <w:szCs w:val="20"/>
              </w:rPr>
              <w:t>7,758</w:t>
            </w:r>
          </w:p>
        </w:tc>
        <w:tc>
          <w:tcPr>
            <w:tcW w:w="3000" w:type="dxa"/>
            <w:shd w:val="clear" w:color="auto" w:fill="F2F6FA"/>
            <w:tcMar>
              <w:top w:w="60" w:type="dxa"/>
              <w:left w:w="100" w:type="dxa"/>
              <w:bottom w:w="60" w:type="dxa"/>
              <w:right w:w="100" w:type="dxa"/>
            </w:tcMar>
          </w:tcPr>
          <w:p w14:paraId="6967A05B">
            <w:r>
              <w:rPr>
                <w:sz w:val="20"/>
                <w:szCs w:val="20"/>
              </w:rPr>
              <w:t>81.7%</w:t>
            </w:r>
          </w:p>
        </w:tc>
      </w:tr>
      <w:tr w14:paraId="169A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252CBA7D">
            <w:r>
              <w:rPr>
                <w:sz w:val="20"/>
                <w:szCs w:val="20"/>
              </w:rPr>
              <w:t>25–34</w:t>
            </w:r>
          </w:p>
        </w:tc>
        <w:tc>
          <w:tcPr>
            <w:tcW w:w="3000" w:type="dxa"/>
            <w:shd w:val="clear" w:color="auto" w:fill="FFFFFF"/>
            <w:tcMar>
              <w:top w:w="60" w:type="dxa"/>
              <w:left w:w="100" w:type="dxa"/>
              <w:bottom w:w="60" w:type="dxa"/>
              <w:right w:w="100" w:type="dxa"/>
            </w:tcMar>
          </w:tcPr>
          <w:p w14:paraId="70E8D1F9">
            <w:r>
              <w:rPr>
                <w:sz w:val="20"/>
                <w:szCs w:val="20"/>
              </w:rPr>
              <w:t>5,172</w:t>
            </w:r>
          </w:p>
        </w:tc>
        <w:tc>
          <w:tcPr>
            <w:tcW w:w="3000" w:type="dxa"/>
            <w:shd w:val="clear" w:color="auto" w:fill="FFFFFF"/>
            <w:tcMar>
              <w:top w:w="60" w:type="dxa"/>
              <w:left w:w="100" w:type="dxa"/>
              <w:bottom w:w="60" w:type="dxa"/>
              <w:right w:w="100" w:type="dxa"/>
            </w:tcMar>
          </w:tcPr>
          <w:p w14:paraId="7723D031">
            <w:r>
              <w:rPr>
                <w:sz w:val="20"/>
                <w:szCs w:val="20"/>
              </w:rPr>
              <w:t>80.0%</w:t>
            </w:r>
          </w:p>
        </w:tc>
      </w:tr>
    </w:tbl>
    <w:p w14:paraId="04D8B9B7">
      <w:pPr>
        <w:pBdr>
          <w:bottom w:val="single" w:color="2E74B5" w:sz="6" w:space="4"/>
        </w:pBdr>
        <w:spacing w:before="360" w:after="100"/>
      </w:pPr>
      <w:r>
        <w:rPr>
          <w:b/>
          <w:bCs/>
          <w:color w:val="2E74B5"/>
          <w:sz w:val="24"/>
          <w:szCs w:val="24"/>
        </w:rPr>
        <w:t xml:space="preserve">Q5. </w:t>
      </w:r>
      <w:r>
        <w:rPr>
          <w:b/>
          <w:bCs/>
          <w:color w:val="1F3864"/>
          <w:sz w:val="24"/>
          <w:szCs w:val="24"/>
        </w:rPr>
        <w:t>How does customer sentiment differ across the three merchandise divisions?</w:t>
      </w:r>
    </w:p>
    <w:p w14:paraId="565414E6">
      <w:pPr>
        <w:spacing w:before="120" w:after="60"/>
      </w:pPr>
      <w:r>
        <w:rPr>
          <w:b/>
          <w:bCs/>
          <w:color w:val="2E74B5"/>
          <w:sz w:val="18"/>
          <w:szCs w:val="18"/>
        </w:rPr>
        <w:t>ANSWER</w:t>
      </w:r>
    </w:p>
    <w:p w14:paraId="33855D9A">
      <w:pPr>
        <w:spacing w:after="120"/>
      </w:pPr>
      <w:r>
        <w:rPr>
          <w:color w:val="222222"/>
          <w:sz w:val="22"/>
          <w:szCs w:val="22"/>
        </w:rPr>
        <w:t>Sentiment (share of Positive-rated reviews) differs meaningfully by division. Initmates has the highest positive share at 81.0% of its 1,502 reviews, followed by General Petite at 78.2% of 8,110 reviews. General — the largest division at 13,839 reviews — has the lowest positive share at 76.7%, and also carries the largest absolute count of Negative reviews (1,451), making it the division with the most room for improvement given its scale.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0C0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3864"/>
            <w:tcMar>
              <w:top w:w="80" w:type="dxa"/>
              <w:left w:w="100" w:type="dxa"/>
              <w:bottom w:w="80" w:type="dxa"/>
              <w:right w:w="100" w:type="dxa"/>
            </w:tcMar>
          </w:tcPr>
          <w:p w14:paraId="44A77499">
            <w:r>
              <w:rPr>
                <w:b/>
                <w:bCs/>
                <w:color w:val="FFFFFF"/>
                <w:sz w:val="20"/>
                <w:szCs w:val="20"/>
              </w:rPr>
              <w:t>Division</w:t>
            </w:r>
          </w:p>
        </w:tc>
        <w:tc>
          <w:tcPr>
            <w:tcW w:w="2250" w:type="dxa"/>
            <w:shd w:val="clear" w:color="auto" w:fill="1F3864"/>
            <w:tcMar>
              <w:top w:w="80" w:type="dxa"/>
              <w:left w:w="100" w:type="dxa"/>
              <w:bottom w:w="80" w:type="dxa"/>
              <w:right w:w="100" w:type="dxa"/>
            </w:tcMar>
          </w:tcPr>
          <w:p w14:paraId="62A7B63C">
            <w:r>
              <w:rPr>
                <w:b/>
                <w:bCs/>
                <w:color w:val="FFFFFF"/>
                <w:sz w:val="20"/>
                <w:szCs w:val="20"/>
              </w:rPr>
              <w:t>Total Reviews</w:t>
            </w:r>
          </w:p>
        </w:tc>
        <w:tc>
          <w:tcPr>
            <w:tcW w:w="2250" w:type="dxa"/>
            <w:shd w:val="clear" w:color="auto" w:fill="1F3864"/>
            <w:tcMar>
              <w:top w:w="80" w:type="dxa"/>
              <w:left w:w="100" w:type="dxa"/>
              <w:bottom w:w="80" w:type="dxa"/>
              <w:right w:w="100" w:type="dxa"/>
            </w:tcMar>
          </w:tcPr>
          <w:p w14:paraId="7228F892">
            <w:r>
              <w:rPr>
                <w:b/>
                <w:bCs/>
                <w:color w:val="FFFFFF"/>
                <w:sz w:val="20"/>
                <w:szCs w:val="20"/>
              </w:rPr>
              <w:t>Positive Share</w:t>
            </w:r>
          </w:p>
        </w:tc>
        <w:tc>
          <w:tcPr>
            <w:tcW w:w="2250" w:type="dxa"/>
            <w:shd w:val="clear" w:color="auto" w:fill="1F3864"/>
            <w:tcMar>
              <w:top w:w="80" w:type="dxa"/>
              <w:left w:w="100" w:type="dxa"/>
              <w:bottom w:w="80" w:type="dxa"/>
              <w:right w:w="100" w:type="dxa"/>
            </w:tcMar>
          </w:tcPr>
          <w:p w14:paraId="3FBE2AD6">
            <w:r>
              <w:rPr>
                <w:b/>
                <w:bCs/>
                <w:color w:val="FFFFFF"/>
                <w:sz w:val="20"/>
                <w:szCs w:val="20"/>
              </w:rPr>
              <w:t>Negative Count</w:t>
            </w:r>
          </w:p>
        </w:tc>
      </w:tr>
      <w:tr w14:paraId="1E61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F2F6FA"/>
            <w:tcMar>
              <w:top w:w="60" w:type="dxa"/>
              <w:left w:w="100" w:type="dxa"/>
              <w:bottom w:w="60" w:type="dxa"/>
              <w:right w:w="100" w:type="dxa"/>
            </w:tcMar>
          </w:tcPr>
          <w:p w14:paraId="7EA57286">
            <w:r>
              <w:rPr>
                <w:sz w:val="20"/>
                <w:szCs w:val="20"/>
              </w:rPr>
              <w:t>Initmates</w:t>
            </w:r>
          </w:p>
        </w:tc>
        <w:tc>
          <w:tcPr>
            <w:tcW w:w="2250" w:type="dxa"/>
            <w:shd w:val="clear" w:color="auto" w:fill="F2F6FA"/>
            <w:tcMar>
              <w:top w:w="60" w:type="dxa"/>
              <w:left w:w="100" w:type="dxa"/>
              <w:bottom w:w="60" w:type="dxa"/>
              <w:right w:w="100" w:type="dxa"/>
            </w:tcMar>
          </w:tcPr>
          <w:p w14:paraId="352C8370">
            <w:r>
              <w:rPr>
                <w:sz w:val="20"/>
                <w:szCs w:val="20"/>
              </w:rPr>
              <w:t>1,502</w:t>
            </w:r>
          </w:p>
        </w:tc>
        <w:tc>
          <w:tcPr>
            <w:tcW w:w="2250" w:type="dxa"/>
            <w:shd w:val="clear" w:color="auto" w:fill="F2F6FA"/>
            <w:tcMar>
              <w:top w:w="60" w:type="dxa"/>
              <w:left w:w="100" w:type="dxa"/>
              <w:bottom w:w="60" w:type="dxa"/>
              <w:right w:w="100" w:type="dxa"/>
            </w:tcMar>
          </w:tcPr>
          <w:p w14:paraId="1ADAA750">
            <w:r>
              <w:rPr>
                <w:sz w:val="20"/>
                <w:szCs w:val="20"/>
              </w:rPr>
              <w:t>81.0%</w:t>
            </w:r>
          </w:p>
        </w:tc>
        <w:tc>
          <w:tcPr>
            <w:tcW w:w="2250" w:type="dxa"/>
            <w:shd w:val="clear" w:color="auto" w:fill="F2F6FA"/>
            <w:tcMar>
              <w:top w:w="60" w:type="dxa"/>
              <w:left w:w="100" w:type="dxa"/>
              <w:bottom w:w="60" w:type="dxa"/>
              <w:right w:w="100" w:type="dxa"/>
            </w:tcMar>
          </w:tcPr>
          <w:p w14:paraId="3CB1E265">
            <w:r>
              <w:rPr>
                <w:sz w:val="20"/>
                <w:szCs w:val="20"/>
              </w:rPr>
              <w:t>131</w:t>
            </w:r>
          </w:p>
        </w:tc>
      </w:tr>
      <w:tr w14:paraId="61F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FFFFFF"/>
            <w:tcMar>
              <w:top w:w="60" w:type="dxa"/>
              <w:left w:w="100" w:type="dxa"/>
              <w:bottom w:w="60" w:type="dxa"/>
              <w:right w:w="100" w:type="dxa"/>
            </w:tcMar>
          </w:tcPr>
          <w:p w14:paraId="62B9F00D">
            <w:r>
              <w:rPr>
                <w:sz w:val="20"/>
                <w:szCs w:val="20"/>
              </w:rPr>
              <w:t>General Petite</w:t>
            </w:r>
          </w:p>
        </w:tc>
        <w:tc>
          <w:tcPr>
            <w:tcW w:w="2250" w:type="dxa"/>
            <w:shd w:val="clear" w:color="auto" w:fill="FFFFFF"/>
            <w:tcMar>
              <w:top w:w="60" w:type="dxa"/>
              <w:left w:w="100" w:type="dxa"/>
              <w:bottom w:w="60" w:type="dxa"/>
              <w:right w:w="100" w:type="dxa"/>
            </w:tcMar>
          </w:tcPr>
          <w:p w14:paraId="273FD507">
            <w:r>
              <w:rPr>
                <w:sz w:val="20"/>
                <w:szCs w:val="20"/>
              </w:rPr>
              <w:t>8,110</w:t>
            </w:r>
          </w:p>
        </w:tc>
        <w:tc>
          <w:tcPr>
            <w:tcW w:w="2250" w:type="dxa"/>
            <w:shd w:val="clear" w:color="auto" w:fill="FFFFFF"/>
            <w:tcMar>
              <w:top w:w="60" w:type="dxa"/>
              <w:left w:w="100" w:type="dxa"/>
              <w:bottom w:w="60" w:type="dxa"/>
              <w:right w:w="100" w:type="dxa"/>
            </w:tcMar>
          </w:tcPr>
          <w:p w14:paraId="5DAB26E7">
            <w:r>
              <w:rPr>
                <w:sz w:val="20"/>
                <w:szCs w:val="20"/>
              </w:rPr>
              <w:t>78.2%</w:t>
            </w:r>
          </w:p>
        </w:tc>
        <w:tc>
          <w:tcPr>
            <w:tcW w:w="2250" w:type="dxa"/>
            <w:shd w:val="clear" w:color="auto" w:fill="FFFFFF"/>
            <w:tcMar>
              <w:top w:w="60" w:type="dxa"/>
              <w:left w:w="100" w:type="dxa"/>
              <w:bottom w:w="60" w:type="dxa"/>
              <w:right w:w="100" w:type="dxa"/>
            </w:tcMar>
          </w:tcPr>
          <w:p w14:paraId="664433CF">
            <w:r>
              <w:rPr>
                <w:sz w:val="20"/>
                <w:szCs w:val="20"/>
              </w:rPr>
              <w:t>825</w:t>
            </w:r>
          </w:p>
        </w:tc>
      </w:tr>
      <w:tr w14:paraId="6A39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F2F6FA"/>
            <w:tcMar>
              <w:top w:w="60" w:type="dxa"/>
              <w:left w:w="100" w:type="dxa"/>
              <w:bottom w:w="60" w:type="dxa"/>
              <w:right w:w="100" w:type="dxa"/>
            </w:tcMar>
          </w:tcPr>
          <w:p w14:paraId="008B6A9E">
            <w:r>
              <w:rPr>
                <w:sz w:val="20"/>
                <w:szCs w:val="20"/>
              </w:rPr>
              <w:t>General</w:t>
            </w:r>
          </w:p>
        </w:tc>
        <w:tc>
          <w:tcPr>
            <w:tcW w:w="2250" w:type="dxa"/>
            <w:shd w:val="clear" w:color="auto" w:fill="F2F6FA"/>
            <w:tcMar>
              <w:top w:w="60" w:type="dxa"/>
              <w:left w:w="100" w:type="dxa"/>
              <w:bottom w:w="60" w:type="dxa"/>
              <w:right w:w="100" w:type="dxa"/>
            </w:tcMar>
          </w:tcPr>
          <w:p w14:paraId="110B5B4E">
            <w:r>
              <w:rPr>
                <w:sz w:val="20"/>
                <w:szCs w:val="20"/>
              </w:rPr>
              <w:t>13,839</w:t>
            </w:r>
          </w:p>
        </w:tc>
        <w:tc>
          <w:tcPr>
            <w:tcW w:w="2250" w:type="dxa"/>
            <w:shd w:val="clear" w:color="auto" w:fill="F2F6FA"/>
            <w:tcMar>
              <w:top w:w="60" w:type="dxa"/>
              <w:left w:w="100" w:type="dxa"/>
              <w:bottom w:w="60" w:type="dxa"/>
              <w:right w:w="100" w:type="dxa"/>
            </w:tcMar>
          </w:tcPr>
          <w:p w14:paraId="4A40F8CE">
            <w:r>
              <w:rPr>
                <w:sz w:val="20"/>
                <w:szCs w:val="20"/>
              </w:rPr>
              <w:t>76.7%</w:t>
            </w:r>
          </w:p>
        </w:tc>
        <w:tc>
          <w:tcPr>
            <w:tcW w:w="2250" w:type="dxa"/>
            <w:shd w:val="clear" w:color="auto" w:fill="F2F6FA"/>
            <w:tcMar>
              <w:top w:w="60" w:type="dxa"/>
              <w:left w:w="100" w:type="dxa"/>
              <w:bottom w:w="60" w:type="dxa"/>
              <w:right w:w="100" w:type="dxa"/>
            </w:tcMar>
          </w:tcPr>
          <w:p w14:paraId="6CB441E3">
            <w:r>
              <w:rPr>
                <w:sz w:val="20"/>
                <w:szCs w:val="20"/>
              </w:rPr>
              <w:t>1,451</w:t>
            </w:r>
          </w:p>
        </w:tc>
      </w:tr>
    </w:tbl>
    <w:p w14:paraId="7C2B0F8D">
      <w:pPr>
        <w:pBdr>
          <w:bottom w:val="single" w:color="2E74B5" w:sz="6" w:space="4"/>
        </w:pBdr>
        <w:spacing w:before="360" w:after="100"/>
      </w:pPr>
      <w:r>
        <w:rPr>
          <w:b/>
          <w:bCs/>
          <w:color w:val="2E74B5"/>
          <w:sz w:val="24"/>
          <w:szCs w:val="24"/>
        </w:rPr>
        <w:t xml:space="preserve">Q6. </w:t>
      </w:r>
      <w:r>
        <w:rPr>
          <w:b/>
          <w:bCs/>
          <w:color w:val="1F3864"/>
          <w:sz w:val="24"/>
          <w:szCs w:val="24"/>
        </w:rPr>
        <w:t>Which product class most under-performs on recommendation rate, despite having meaningful review volume?</w:t>
      </w:r>
    </w:p>
    <w:p w14:paraId="0F3C2426">
      <w:pPr>
        <w:spacing w:before="120" w:after="60"/>
      </w:pPr>
      <w:r>
        <w:rPr>
          <w:b/>
          <w:bCs/>
          <w:color w:val="2E74B5"/>
          <w:sz w:val="18"/>
          <w:szCs w:val="18"/>
        </w:rPr>
        <w:t>ANSWER</w:t>
      </w:r>
    </w:p>
    <w:p w14:paraId="67A27B2D">
      <w:pPr>
        <w:spacing w:after="120"/>
      </w:pPr>
      <w:r>
        <w:rPr>
          <w:color w:val="222222"/>
          <w:sz w:val="22"/>
          <w:szCs w:val="22"/>
        </w:rPr>
        <w:t>Among classes with a reasonably large sample size, Trend stands out as the weakest performer. With 119 total recommendation-status reviews, only 73.9% were marked “recommended” — roughly 6 percentage points below the next-lowest class (Sweaters, 80.0%) and well below top performers such as Layering (88.4%) and Jeans (88.1%). Because this gap is consistent rather than a one-off, it points to a specific quality, fit, or expectation-setting issue within the Trend class rather than random variation.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54E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shd w:val="clear" w:color="auto" w:fill="1F3864"/>
            <w:tcMar>
              <w:top w:w="80" w:type="dxa"/>
              <w:left w:w="100" w:type="dxa"/>
              <w:bottom w:w="80" w:type="dxa"/>
              <w:right w:w="100" w:type="dxa"/>
            </w:tcMar>
          </w:tcPr>
          <w:p w14:paraId="772874C1">
            <w:r>
              <w:rPr>
                <w:b/>
                <w:bCs/>
                <w:color w:val="FFFFFF"/>
                <w:sz w:val="20"/>
                <w:szCs w:val="20"/>
              </w:rPr>
              <w:t>Class</w:t>
            </w:r>
          </w:p>
        </w:tc>
        <w:tc>
          <w:tcPr>
            <w:tcW w:w="3000" w:type="dxa"/>
            <w:shd w:val="clear" w:color="auto" w:fill="1F3864"/>
            <w:tcMar>
              <w:top w:w="80" w:type="dxa"/>
              <w:left w:w="100" w:type="dxa"/>
              <w:bottom w:w="80" w:type="dxa"/>
              <w:right w:w="100" w:type="dxa"/>
            </w:tcMar>
          </w:tcPr>
          <w:p w14:paraId="6E72DC9A">
            <w:r>
              <w:rPr>
                <w:b/>
                <w:bCs/>
                <w:color w:val="FFFFFF"/>
                <w:sz w:val="20"/>
                <w:szCs w:val="20"/>
              </w:rPr>
              <w:t>Total Reviews</w:t>
            </w:r>
          </w:p>
        </w:tc>
        <w:tc>
          <w:tcPr>
            <w:tcW w:w="3000" w:type="dxa"/>
            <w:shd w:val="clear" w:color="auto" w:fill="1F3864"/>
            <w:tcMar>
              <w:top w:w="80" w:type="dxa"/>
              <w:left w:w="100" w:type="dxa"/>
              <w:bottom w:w="80" w:type="dxa"/>
              <w:right w:w="100" w:type="dxa"/>
            </w:tcMar>
          </w:tcPr>
          <w:p w14:paraId="2835BB32">
            <w:r>
              <w:rPr>
                <w:b/>
                <w:bCs/>
                <w:color w:val="FFFFFF"/>
                <w:sz w:val="20"/>
                <w:szCs w:val="20"/>
              </w:rPr>
              <w:t>Recommend Rate</w:t>
            </w:r>
          </w:p>
        </w:tc>
      </w:tr>
      <w:tr w14:paraId="087D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2CAEAC09">
            <w:r>
              <w:rPr>
                <w:sz w:val="20"/>
                <w:szCs w:val="20"/>
              </w:rPr>
              <w:t>Trend</w:t>
            </w:r>
          </w:p>
        </w:tc>
        <w:tc>
          <w:tcPr>
            <w:tcW w:w="3000" w:type="dxa"/>
            <w:shd w:val="clear" w:color="auto" w:fill="F2F6FA"/>
            <w:tcMar>
              <w:top w:w="60" w:type="dxa"/>
              <w:left w:w="100" w:type="dxa"/>
              <w:bottom w:w="60" w:type="dxa"/>
              <w:right w:w="100" w:type="dxa"/>
            </w:tcMar>
          </w:tcPr>
          <w:p w14:paraId="6D7FD43E">
            <w:r>
              <w:rPr>
                <w:sz w:val="20"/>
                <w:szCs w:val="20"/>
              </w:rPr>
              <w:t>119</w:t>
            </w:r>
          </w:p>
        </w:tc>
        <w:tc>
          <w:tcPr>
            <w:tcW w:w="3000" w:type="dxa"/>
            <w:shd w:val="clear" w:color="auto" w:fill="F2F6FA"/>
            <w:tcMar>
              <w:top w:w="60" w:type="dxa"/>
              <w:left w:w="100" w:type="dxa"/>
              <w:bottom w:w="60" w:type="dxa"/>
              <w:right w:w="100" w:type="dxa"/>
            </w:tcMar>
          </w:tcPr>
          <w:p w14:paraId="6DF7B3FA">
            <w:r>
              <w:rPr>
                <w:sz w:val="20"/>
                <w:szCs w:val="20"/>
              </w:rPr>
              <w:t>73.9%</w:t>
            </w:r>
          </w:p>
        </w:tc>
      </w:tr>
      <w:tr w14:paraId="3BAAC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6211B990">
            <w:r>
              <w:rPr>
                <w:sz w:val="20"/>
                <w:szCs w:val="20"/>
              </w:rPr>
              <w:t>Sweaters</w:t>
            </w:r>
          </w:p>
        </w:tc>
        <w:tc>
          <w:tcPr>
            <w:tcW w:w="3000" w:type="dxa"/>
            <w:shd w:val="clear" w:color="auto" w:fill="FFFFFF"/>
            <w:tcMar>
              <w:top w:w="60" w:type="dxa"/>
              <w:left w:w="100" w:type="dxa"/>
              <w:bottom w:w="60" w:type="dxa"/>
              <w:right w:w="100" w:type="dxa"/>
            </w:tcMar>
          </w:tcPr>
          <w:p w14:paraId="0D3D6EDA">
            <w:r>
              <w:rPr>
                <w:sz w:val="20"/>
                <w:szCs w:val="20"/>
              </w:rPr>
              <w:t>1,428</w:t>
            </w:r>
          </w:p>
        </w:tc>
        <w:tc>
          <w:tcPr>
            <w:tcW w:w="3000" w:type="dxa"/>
            <w:shd w:val="clear" w:color="auto" w:fill="FFFFFF"/>
            <w:tcMar>
              <w:top w:w="60" w:type="dxa"/>
              <w:left w:w="100" w:type="dxa"/>
              <w:bottom w:w="60" w:type="dxa"/>
              <w:right w:w="100" w:type="dxa"/>
            </w:tcMar>
          </w:tcPr>
          <w:p w14:paraId="70AAED93">
            <w:r>
              <w:rPr>
                <w:sz w:val="20"/>
                <w:szCs w:val="20"/>
              </w:rPr>
              <w:t>80.0%</w:t>
            </w:r>
          </w:p>
        </w:tc>
      </w:tr>
      <w:tr w14:paraId="091A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469DB665">
            <w:r>
              <w:rPr>
                <w:sz w:val="20"/>
                <w:szCs w:val="20"/>
              </w:rPr>
              <w:t>Swim</w:t>
            </w:r>
          </w:p>
        </w:tc>
        <w:tc>
          <w:tcPr>
            <w:tcW w:w="3000" w:type="dxa"/>
            <w:shd w:val="clear" w:color="auto" w:fill="F2F6FA"/>
            <w:tcMar>
              <w:top w:w="60" w:type="dxa"/>
              <w:left w:w="100" w:type="dxa"/>
              <w:bottom w:w="60" w:type="dxa"/>
              <w:right w:w="100" w:type="dxa"/>
            </w:tcMar>
          </w:tcPr>
          <w:p w14:paraId="198A35BB">
            <w:r>
              <w:rPr>
                <w:sz w:val="20"/>
                <w:szCs w:val="20"/>
              </w:rPr>
              <w:t>350</w:t>
            </w:r>
          </w:p>
        </w:tc>
        <w:tc>
          <w:tcPr>
            <w:tcW w:w="3000" w:type="dxa"/>
            <w:shd w:val="clear" w:color="auto" w:fill="F2F6FA"/>
            <w:tcMar>
              <w:top w:w="60" w:type="dxa"/>
              <w:left w:w="100" w:type="dxa"/>
              <w:bottom w:w="60" w:type="dxa"/>
              <w:right w:w="100" w:type="dxa"/>
            </w:tcMar>
          </w:tcPr>
          <w:p w14:paraId="050AE8D5">
            <w:r>
              <w:rPr>
                <w:sz w:val="20"/>
                <w:szCs w:val="20"/>
              </w:rPr>
              <w:t>80.6%</w:t>
            </w:r>
          </w:p>
        </w:tc>
      </w:tr>
      <w:tr w14:paraId="7948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689139A4">
            <w:r>
              <w:rPr>
                <w:sz w:val="20"/>
                <w:szCs w:val="20"/>
              </w:rPr>
              <w:t>Layering (top performer)</w:t>
            </w:r>
          </w:p>
        </w:tc>
        <w:tc>
          <w:tcPr>
            <w:tcW w:w="3000" w:type="dxa"/>
            <w:shd w:val="clear" w:color="auto" w:fill="FFFFFF"/>
            <w:tcMar>
              <w:top w:w="60" w:type="dxa"/>
              <w:left w:w="100" w:type="dxa"/>
              <w:bottom w:w="60" w:type="dxa"/>
              <w:right w:w="100" w:type="dxa"/>
            </w:tcMar>
          </w:tcPr>
          <w:p w14:paraId="4B73A12E">
            <w:r>
              <w:rPr>
                <w:sz w:val="20"/>
                <w:szCs w:val="20"/>
              </w:rPr>
              <w:t>146</w:t>
            </w:r>
          </w:p>
        </w:tc>
        <w:tc>
          <w:tcPr>
            <w:tcW w:w="3000" w:type="dxa"/>
            <w:shd w:val="clear" w:color="auto" w:fill="FFFFFF"/>
            <w:tcMar>
              <w:top w:w="60" w:type="dxa"/>
              <w:left w:w="100" w:type="dxa"/>
              <w:bottom w:w="60" w:type="dxa"/>
              <w:right w:w="100" w:type="dxa"/>
            </w:tcMar>
          </w:tcPr>
          <w:p w14:paraId="1F2AF92A">
            <w:r>
              <w:rPr>
                <w:sz w:val="20"/>
                <w:szCs w:val="20"/>
              </w:rPr>
              <w:t>88.4%</w:t>
            </w:r>
          </w:p>
        </w:tc>
      </w:tr>
      <w:tr w14:paraId="41B5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79372F2F">
            <w:r>
              <w:rPr>
                <w:sz w:val="20"/>
                <w:szCs w:val="20"/>
              </w:rPr>
              <w:t>Jeans (top performer)</w:t>
            </w:r>
          </w:p>
        </w:tc>
        <w:tc>
          <w:tcPr>
            <w:tcW w:w="3000" w:type="dxa"/>
            <w:shd w:val="clear" w:color="auto" w:fill="F2F6FA"/>
            <w:tcMar>
              <w:top w:w="60" w:type="dxa"/>
              <w:left w:w="100" w:type="dxa"/>
              <w:bottom w:w="60" w:type="dxa"/>
              <w:right w:w="100" w:type="dxa"/>
            </w:tcMar>
          </w:tcPr>
          <w:p w14:paraId="5D7E3AC2">
            <w:r>
              <w:rPr>
                <w:sz w:val="20"/>
                <w:szCs w:val="20"/>
              </w:rPr>
              <w:t>1,146</w:t>
            </w:r>
          </w:p>
        </w:tc>
        <w:tc>
          <w:tcPr>
            <w:tcW w:w="3000" w:type="dxa"/>
            <w:shd w:val="clear" w:color="auto" w:fill="F2F6FA"/>
            <w:tcMar>
              <w:top w:w="60" w:type="dxa"/>
              <w:left w:w="100" w:type="dxa"/>
              <w:bottom w:w="60" w:type="dxa"/>
              <w:right w:w="100" w:type="dxa"/>
            </w:tcMar>
          </w:tcPr>
          <w:p w14:paraId="73F47E10">
            <w:r>
              <w:rPr>
                <w:sz w:val="20"/>
                <w:szCs w:val="20"/>
              </w:rPr>
              <w:t>88.1%</w:t>
            </w:r>
          </w:p>
        </w:tc>
      </w:tr>
    </w:tbl>
    <w:p w14:paraId="00986A03">
      <w:pPr>
        <w:spacing w:after="200"/>
      </w:pPr>
    </w:p>
    <w:p w14:paraId="2BB4AABA">
      <w:pPr>
        <w:pBdr>
          <w:top w:val="single" w:color="BFBFBF" w:sz="4" w:space="4"/>
        </w:pBdr>
        <w:spacing w:before="100"/>
        <w:rPr>
          <w:rFonts w:hint="default"/>
          <w:lang w:val="en-US"/>
        </w:rPr>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0DC56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633</Words>
  <Characters>3504</Characters>
  <TotalTime>0</TotalTime>
  <ScaleCrop>false</ScaleCrop>
  <LinksUpToDate>false</LinksUpToDate>
  <CharactersWithSpaces>4039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2026-07-14T22:48:00Z</dcterms:created>
  <dc:creator>Un-named</dc:creator>
  <cp:lastModifiedBy>Hosanna Chinaecherem</cp:lastModifiedBy>
  <dcterms:modified xsi:type="dcterms:W3CDTF">2026-07-14T22:55:49Z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eyJoZGlkIjoiNjU4YTQwNThjM2JhM2MxN2M1MWVkYjc1ZTYwNjAwZTkiLCJ1c2VySWQiOiIzNzI4NjQ5MDQ1MTIzIn0=</vt:lpwstr>
  </property>
  <property fmtid="{D5CDD505-2E9C-101B-9397-08002B2CF9AE}" pid="3" name="KSOProductBuildVer">
    <vt:lpwstr>1033-12.1.0.26880</vt:lpwstr>
  </property>
  <property fmtid="{D5CDD505-2E9C-101B-9397-08002B2CF9AE}" pid="4" name="ICV">
    <vt:lpwstr>0A8E0612C8054DE49FFAE245C3BD8FB6_12</vt:lpwstr>
  </property>
</Properties>
</file>