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6FA" w:rsidRPr="001726FA" w:rsidRDefault="001726FA" w:rsidP="001726FA">
      <w:pPr>
        <w:pStyle w:val="NormalWeb"/>
        <w:spacing w:before="0" w:beforeAutospacing="0" w:after="160" w:afterAutospacing="0"/>
        <w:jc w:val="center"/>
      </w:pPr>
      <w:r w:rsidRPr="001726FA">
        <w:rPr>
          <w:b/>
          <w:bCs/>
          <w:color w:val="1F4E79"/>
          <w:sz w:val="36"/>
          <w:szCs w:val="36"/>
        </w:rPr>
        <w:t>BANK LOAN REPORT</w:t>
      </w:r>
    </w:p>
    <w:p w:rsidR="001726FA" w:rsidRPr="001726FA" w:rsidRDefault="001726FA" w:rsidP="001726FA">
      <w:pPr>
        <w:pStyle w:val="NormalWeb"/>
        <w:spacing w:before="0" w:beforeAutospacing="0" w:after="160" w:afterAutospacing="0"/>
        <w:jc w:val="center"/>
        <w:rPr>
          <w:sz w:val="22"/>
        </w:rPr>
      </w:pPr>
      <w:r w:rsidRPr="001726FA">
        <w:rPr>
          <w:b/>
          <w:bCs/>
          <w:color w:val="4472C4"/>
          <w:sz w:val="28"/>
          <w:szCs w:val="32"/>
        </w:rPr>
        <w:t>TERMINOLOGIES USED IN DATA</w:t>
      </w:r>
    </w:p>
    <w:p w:rsidR="001774E5" w:rsidRPr="001774E5" w:rsidRDefault="001774E5" w:rsidP="001774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F6D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Terminologies in the Dataset</w:t>
      </w:r>
    </w:p>
    <w:p w:rsidR="00BB5735" w:rsidRPr="00256636" w:rsidRDefault="001774E5" w:rsidP="001774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74E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Below are the major data fields used in the bank loan dataset, along with their purpose and relevance for banks.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pPr>
              <w:jc w:val="center"/>
              <w:rPr>
                <w:b/>
                <w:bCs/>
              </w:rPr>
            </w:pPr>
            <w:r w:rsidRPr="00256636">
              <w:rPr>
                <w:rStyle w:val="Strong"/>
              </w:rPr>
              <w:t>Field Name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pPr>
              <w:jc w:val="center"/>
              <w:rPr>
                <w:b/>
                <w:bCs/>
              </w:rPr>
            </w:pPr>
            <w:r w:rsidRPr="00256636">
              <w:rPr>
                <w:rStyle w:val="Strong"/>
              </w:rPr>
              <w:t>Purpose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pPr>
              <w:jc w:val="center"/>
              <w:rPr>
                <w:b/>
                <w:bCs/>
              </w:rPr>
            </w:pPr>
            <w:r w:rsidRPr="00256636">
              <w:rPr>
                <w:rStyle w:val="Strong"/>
              </w:rPr>
              <w:t>Use for Banks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Loan ID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A unique identifier assigned to each loan application or account for accurate tracking.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Enables efficient loan management, repayment tracking, and customer query resolution.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Address State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Indicates the borrower’s state of residence, helping assess regional financial dynamics.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Used to identify geographic trends, manage regional risk, and tailor marketing strategies.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Employee Length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Reflects the number of years a borrower has been employed, indicating job stability.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Assists i</w:t>
            </w:r>
            <w:r w:rsidR="00903F95">
              <w:t>n evaluating repayment ability. L</w:t>
            </w:r>
            <w:r w:rsidRPr="00256636">
              <w:t>onger tenure suggests lower default risk.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Employee Title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Specifies the borrower’s occupation or job role.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Helps verify income sources and tailor loan offers based on professional segments.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Grade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Represents the borrower’</w:t>
            </w:r>
            <w:r w:rsidR="001F6D3D">
              <w:t>s credit risk classification (A-</w:t>
            </w:r>
            <w:r w:rsidRPr="00256636">
              <w:t>G).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Guides loan prici</w:t>
            </w:r>
            <w:r w:rsidR="00746B45">
              <w:t>ng and interest rate decisions. H</w:t>
            </w:r>
            <w:r w:rsidRPr="00256636">
              <w:t>igher grades mean lower risk.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Sub Grade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Provides a more granular risk rating within each grade.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Enables fine-tuning of interest rates and lending terms based on borrower profiles.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Home Ownership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Indicates whether the borrower owns or rents a home.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Used to assess financial stab</w:t>
            </w:r>
            <w:r w:rsidR="00AF23A4">
              <w:t>ility and collateral potential,</w:t>
            </w:r>
            <w:r w:rsidRPr="00256636">
              <w:t xml:space="preserve"> homeowners often pose lower risk.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Issue Date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The date on which the loan was originated.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Supports tracking loan age, calculating maturity, and managing portfolio timelines.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Last Credit Pull Date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Records the last date the borrower’s credit report was checked.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Helps monitor creditworthiness over time and detect changes in financial behavio</w:t>
            </w:r>
            <w:r w:rsidR="00AF23A4">
              <w:t>u</w:t>
            </w:r>
            <w:r w:rsidRPr="00256636">
              <w:t>r.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Last Payment Date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Marks the most recent payment made by the borrower.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Used to assess repayment consistency, detect delinquencies, and forecast future payments.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Loan Status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 xml:space="preserve">Indicates the current state of the loan (e.g., Current, Fully Paid, </w:t>
            </w:r>
            <w:proofErr w:type="gramStart"/>
            <w:r w:rsidRPr="00256636">
              <w:t>Default</w:t>
            </w:r>
            <w:proofErr w:type="gramEnd"/>
            <w:r w:rsidRPr="00256636">
              <w:t>).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Helps track loan performance, categorize risk, and determine provisioning needs.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Next Payment Date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Specifies when the borrower’s next payment is due.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Supports cash flow forecasting and liquidity management.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lastRenderedPageBreak/>
              <w:t>Purpose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States the reason for borrowing (e.g., education, debt consolidation).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Enables segmentation and customized loan product offerings.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Term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Defines the loan repayment duration in months.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Used to structure agreements, compute amortization, and manage maturities.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Verification Status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Indicates if the borrower’s financial details were verified.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Ensures data authenticity and strengthens risk evaluation.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Annual Income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Reflects total yearly income of the borrower.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Key factor in eligibility checks, DTI calculations, and repayment assessment.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DTI (Debt-to-Income Ratio)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Compares total monthly debt payments to gross income.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Assesses repayment capacity and determines responsible lending limits.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proofErr w:type="spellStart"/>
            <w:r w:rsidRPr="00256636">
              <w:rPr>
                <w:rStyle w:val="Strong"/>
              </w:rPr>
              <w:t>Installment</w:t>
            </w:r>
            <w:proofErr w:type="spellEnd"/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Fixed monthly payment amount including principal and interest.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Helps design repayment structures and monitor affordability.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Interest Rate</w:t>
            </w:r>
          </w:p>
        </w:tc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t>The annual cost of borrowing expressed as a percentage.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Determines loan pricing, profitability, and investor appeal.</w:t>
            </w:r>
          </w:p>
        </w:tc>
      </w:tr>
      <w:tr w:rsidR="001774E5" w:rsidRPr="00256636" w:rsidTr="000B2DFF">
        <w:tc>
          <w:tcPr>
            <w:tcW w:w="3005" w:type="dxa"/>
            <w:vAlign w:val="center"/>
          </w:tcPr>
          <w:p w:rsidR="001774E5" w:rsidRPr="00256636" w:rsidRDefault="001774E5" w:rsidP="001774E5">
            <w:r w:rsidRPr="00256636">
              <w:rPr>
                <w:rStyle w:val="Strong"/>
              </w:rPr>
              <w:t>Loan Amount</w:t>
            </w:r>
          </w:p>
        </w:tc>
        <w:tc>
          <w:tcPr>
            <w:tcW w:w="3005" w:type="dxa"/>
            <w:vAlign w:val="center"/>
          </w:tcPr>
          <w:p w:rsidR="001774E5" w:rsidRPr="00256636" w:rsidRDefault="00AF23A4" w:rsidP="001774E5">
            <w:r>
              <w:t>The total sum borrowed and</w:t>
            </w:r>
            <w:bookmarkStart w:id="0" w:name="_GoBack"/>
            <w:bookmarkEnd w:id="0"/>
            <w:r w:rsidR="001774E5" w:rsidRPr="00256636">
              <w:t xml:space="preserve"> the principal amount.</w:t>
            </w:r>
          </w:p>
        </w:tc>
        <w:tc>
          <w:tcPr>
            <w:tcW w:w="3006" w:type="dxa"/>
            <w:vAlign w:val="center"/>
          </w:tcPr>
          <w:p w:rsidR="001774E5" w:rsidRPr="00256636" w:rsidRDefault="001774E5" w:rsidP="001774E5">
            <w:r w:rsidRPr="00256636">
              <w:t>Forms the base for repayment schedule and interest computation.</w:t>
            </w:r>
          </w:p>
        </w:tc>
      </w:tr>
    </w:tbl>
    <w:p w:rsidR="001774E5" w:rsidRPr="001774E5" w:rsidRDefault="001774E5"/>
    <w:sectPr w:rsidR="001774E5" w:rsidRPr="00177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6FA"/>
    <w:rsid w:val="001726FA"/>
    <w:rsid w:val="001774E5"/>
    <w:rsid w:val="001F6D3D"/>
    <w:rsid w:val="00256636"/>
    <w:rsid w:val="00746B45"/>
    <w:rsid w:val="00903F95"/>
    <w:rsid w:val="00AF23A4"/>
    <w:rsid w:val="00BB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D1F12"/>
  <w15:chartTrackingRefBased/>
  <w15:docId w15:val="{41D49668-C881-456E-9A0D-4B9AC410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74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2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774E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774E5"/>
    <w:rPr>
      <w:b/>
      <w:bCs/>
    </w:rPr>
  </w:style>
  <w:style w:type="table" w:styleId="TableGrid">
    <w:name w:val="Table Grid"/>
    <w:basedOn w:val="TableNormal"/>
    <w:uiPriority w:val="39"/>
    <w:rsid w:val="00177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2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Divit Lamba</dc:creator>
  <cp:keywords/>
  <dc:description/>
  <cp:lastModifiedBy>Divit Lamba</cp:lastModifiedBy>
  <cp:revision>7</cp:revision>
  <dcterms:created xsi:type="dcterms:W3CDTF">2025-10-17T16:48:00Z</dcterms:created>
  <dcterms:modified xsi:type="dcterms:W3CDTF">2025-10-17T16:53:00Z</dcterms:modified>
</cp:coreProperties>
</file>