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2A270" w14:textId="515DAEB8" w:rsidR="001016DA" w:rsidRPr="001016DA" w:rsidRDefault="001016DA" w:rsidP="001016DA">
      <w:pPr>
        <w:jc w:val="both"/>
        <w:rPr>
          <w:b/>
          <w:bCs/>
        </w:rPr>
      </w:pPr>
      <w:r w:rsidRPr="001016DA">
        <w:rPr>
          <w:b/>
          <w:bCs/>
        </w:rPr>
        <w:t xml:space="preserve">Pregunta 1 </w:t>
      </w:r>
    </w:p>
    <w:p w14:paraId="6D2E7927" w14:textId="77777777" w:rsidR="001016DA" w:rsidRPr="001016DA" w:rsidRDefault="001016DA" w:rsidP="001016DA">
      <w:pPr>
        <w:jc w:val="both"/>
      </w:pPr>
      <w:r w:rsidRPr="001016DA">
        <w:rPr>
          <w:b/>
          <w:bCs/>
        </w:rPr>
        <w:t>Determinar el balance hídrico actual y potencial del área de intervención, mediante el análisis espectral y estructural de imágenes satelitales (preferencialmente Sentinel-2) integrado con la información sectorial de la ANA y el SENAMHI. El escenario potencial se modelará bajo el enfoque de capacidad de carga e infraestructura noosférica, evaluando la aptitud biofísica y geomorfológica del territorio para maximizar la retención, siembra, cosecha y almacenamiento físico de agua frente a la línea de base actual.</w:t>
      </w:r>
    </w:p>
    <w:p w14:paraId="2AEABE89" w14:textId="77777777" w:rsidR="001016DA" w:rsidRPr="001016DA" w:rsidRDefault="001016DA" w:rsidP="001016DA">
      <w:pPr>
        <w:numPr>
          <w:ilvl w:val="0"/>
          <w:numId w:val="48"/>
        </w:numPr>
        <w:jc w:val="both"/>
      </w:pPr>
      <w:r w:rsidRPr="001016DA">
        <w:rPr>
          <w:b/>
          <w:bCs/>
        </w:rPr>
        <w:t>Producto:</w:t>
      </w:r>
      <w:r w:rsidRPr="001016DA">
        <w:t xml:space="preserve"> Un mapa multitemporal e infraestructural de Balance Hídrico Actual (oferta/consumo real del sistema) y Potencial (capacidad máxima de almacenamiento y optimización del flujo hídrico territorial).</w:t>
      </w:r>
    </w:p>
    <w:p w14:paraId="0A9C60DE" w14:textId="176448B6" w:rsidR="001016DA" w:rsidRPr="001016DA" w:rsidRDefault="001016DA" w:rsidP="001016DA">
      <w:pPr>
        <w:numPr>
          <w:ilvl w:val="0"/>
          <w:numId w:val="48"/>
        </w:numPr>
        <w:jc w:val="both"/>
      </w:pPr>
      <w:r w:rsidRPr="001016DA">
        <w:rPr>
          <w:b/>
          <w:bCs/>
        </w:rPr>
        <w:t>Explicación del procedimiento:</w:t>
      </w:r>
      <w:r w:rsidRPr="001016DA">
        <w:t xml:space="preserve"> Detalle metodológico del procesamiento digital de imágenes (cálculo de índices NDVI/NDWI para el coeficiente de cultivo (K</w:t>
      </w:r>
      <w:r w:rsidR="000D0FBA">
        <w:t>c</w:t>
      </w:r>
      <w:r w:rsidRPr="001016DA">
        <w:t>) y escorrentía), interpolación espacial de la climatología sectorial (SENAMHI/ANA) y el modelamiento topográfico/geomorfológico (DEM) para proyectar el volumen máximo de retención física del relieve.</w:t>
      </w:r>
    </w:p>
    <w:p w14:paraId="2C3CE8FC" w14:textId="77777777" w:rsidR="001016DA" w:rsidRPr="001016DA" w:rsidRDefault="001016DA" w:rsidP="001016DA">
      <w:pPr>
        <w:numPr>
          <w:ilvl w:val="0"/>
          <w:numId w:val="48"/>
        </w:numPr>
        <w:jc w:val="both"/>
      </w:pPr>
      <w:r w:rsidRPr="001016DA">
        <w:rPr>
          <w:b/>
          <w:bCs/>
        </w:rPr>
        <w:t>Análisis e interpretación del mapa:</w:t>
      </w:r>
      <w:r w:rsidRPr="001016DA">
        <w:t xml:space="preserve"> Evaluación de la brecha entre el almacenamiento actual y la capacidad de soporte potencial. Explicación de cómo la introducción de infraestructura antrópica inteligente (qochas, represas, zanjas de infiltración) reconfigura positivamente el ciclo hidrológico, reduciendo la entropía del territorio y aumentando su disponibilidad hídrica neta.</w:t>
      </w:r>
    </w:p>
    <w:p w14:paraId="37C2D833" w14:textId="11957087" w:rsidR="001016DA" w:rsidRPr="001016DA" w:rsidRDefault="001016DA" w:rsidP="001016DA">
      <w:pPr>
        <w:jc w:val="both"/>
      </w:pPr>
    </w:p>
    <w:p w14:paraId="48ECEF66" w14:textId="0E196757" w:rsidR="001016DA" w:rsidRPr="001016DA" w:rsidRDefault="001016DA" w:rsidP="001016DA">
      <w:pPr>
        <w:jc w:val="both"/>
        <w:rPr>
          <w:b/>
          <w:bCs/>
        </w:rPr>
      </w:pPr>
      <w:r w:rsidRPr="001016DA">
        <w:rPr>
          <w:b/>
          <w:bCs/>
        </w:rPr>
        <w:t xml:space="preserve">Pregunta 2 </w:t>
      </w:r>
    </w:p>
    <w:p w14:paraId="44A8F1D9" w14:textId="77777777" w:rsidR="001016DA" w:rsidRPr="001016DA" w:rsidRDefault="001016DA" w:rsidP="001016DA">
      <w:pPr>
        <w:jc w:val="both"/>
      </w:pPr>
      <w:r w:rsidRPr="001016DA">
        <w:rPr>
          <w:b/>
          <w:bCs/>
        </w:rPr>
        <w:t>Determinar la biomasa actual y el potencial biótico (potencial de desarrollo vegetal) del área de intervención, acoplando la combinación de bandas de imágenes satelitales (preferencialmente Sentinel-2) con la información sectorial del MINAM, MINAGRI y la matriz bioclimática de Zonas de Vida (Sistema Holdridge). El escenario potencial proyectará la evolución del territorio hacia su óptimo biogeoquímico y densidad de flujo energético, simulando la expansión de la cobertura viva desde su estado actual hasta la máxima capacidad de soporte del ecosistema.</w:t>
      </w:r>
    </w:p>
    <w:p w14:paraId="2052EAD9" w14:textId="77777777" w:rsidR="001016DA" w:rsidRPr="001016DA" w:rsidRDefault="001016DA" w:rsidP="001016DA">
      <w:pPr>
        <w:numPr>
          <w:ilvl w:val="0"/>
          <w:numId w:val="49"/>
        </w:numPr>
        <w:jc w:val="both"/>
      </w:pPr>
      <w:r w:rsidRPr="001016DA">
        <w:rPr>
          <w:b/>
          <w:bCs/>
        </w:rPr>
        <w:t>Producto:</w:t>
      </w:r>
      <w:r w:rsidRPr="001016DA">
        <w:t xml:space="preserve"> Un mapa dinámico de Biomasa Actual y Potencial Biótico (expresado en toneladas de materia seca por hectárea y porcentaje de cobertura biofísica óptima).</w:t>
      </w:r>
    </w:p>
    <w:p w14:paraId="28085895" w14:textId="7D462A95" w:rsidR="001016DA" w:rsidRPr="001016DA" w:rsidRDefault="001016DA" w:rsidP="001016DA">
      <w:pPr>
        <w:numPr>
          <w:ilvl w:val="0"/>
          <w:numId w:val="49"/>
        </w:numPr>
        <w:jc w:val="both"/>
      </w:pPr>
      <w:r w:rsidRPr="001016DA">
        <w:rPr>
          <w:b/>
          <w:bCs/>
        </w:rPr>
        <w:t>Explicación del procedimiento:</w:t>
      </w:r>
      <w:r w:rsidRPr="001016DA">
        <w:t xml:space="preserve"> Algoritmo de cálculo de índices espectrales avanzados (NDVI, EVI) calibrados con datos de cobertura del MINAGRI/MINAM, zonificación automatizada de las unidades bioclimáticas de Holdridge, y </w:t>
      </w:r>
      <w:r w:rsidRPr="001016DA">
        <w:lastRenderedPageBreak/>
        <w:t>modelamiento de la capacidad de uso mayor de la tierra para proyectar el incremento de la biomasa.</w:t>
      </w:r>
    </w:p>
    <w:p w14:paraId="633B061F" w14:textId="77777777" w:rsidR="001016DA" w:rsidRPr="001016DA" w:rsidRDefault="001016DA" w:rsidP="001016DA">
      <w:pPr>
        <w:numPr>
          <w:ilvl w:val="0"/>
          <w:numId w:val="49"/>
        </w:numPr>
        <w:jc w:val="both"/>
      </w:pPr>
      <w:r w:rsidRPr="001016DA">
        <w:rPr>
          <w:b/>
          <w:bCs/>
        </w:rPr>
        <w:t>Análisis e interpretación del mapa:</w:t>
      </w:r>
      <w:r w:rsidRPr="001016DA">
        <w:t xml:space="preserve"> Cuantificación de la brecha noosférica de productividad (Biomasa Actual vs. Potencial). Interpretación fundamentada en los principios de Vernadsky y LaRouche, demostrando cómo la acción humana organizada funciona como una fuerza geológica capaz de elevar la captura de energía solar, expandir la frontera biótica y acelerar los procesos evolutivos de la biosfera en el territorio estudiado.</w:t>
      </w:r>
    </w:p>
    <w:sectPr w:rsidR="001016DA" w:rsidRPr="001016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B9E"/>
    <w:multiLevelType w:val="multilevel"/>
    <w:tmpl w:val="2646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E4515"/>
    <w:multiLevelType w:val="multilevel"/>
    <w:tmpl w:val="0AFE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11F82"/>
    <w:multiLevelType w:val="multilevel"/>
    <w:tmpl w:val="0A18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56005"/>
    <w:multiLevelType w:val="multilevel"/>
    <w:tmpl w:val="B164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27269C"/>
    <w:multiLevelType w:val="multilevel"/>
    <w:tmpl w:val="C8AA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15257"/>
    <w:multiLevelType w:val="multilevel"/>
    <w:tmpl w:val="1A0A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CC3C45"/>
    <w:multiLevelType w:val="multilevel"/>
    <w:tmpl w:val="D384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6635F4"/>
    <w:multiLevelType w:val="multilevel"/>
    <w:tmpl w:val="2526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592946"/>
    <w:multiLevelType w:val="multilevel"/>
    <w:tmpl w:val="1E66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F62DB7"/>
    <w:multiLevelType w:val="multilevel"/>
    <w:tmpl w:val="EAC6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BA4067"/>
    <w:multiLevelType w:val="multilevel"/>
    <w:tmpl w:val="F192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614E25"/>
    <w:multiLevelType w:val="multilevel"/>
    <w:tmpl w:val="4E00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EB20B0"/>
    <w:multiLevelType w:val="multilevel"/>
    <w:tmpl w:val="8B14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5F1909"/>
    <w:multiLevelType w:val="multilevel"/>
    <w:tmpl w:val="68FA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A63D34"/>
    <w:multiLevelType w:val="multilevel"/>
    <w:tmpl w:val="7002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515C1C"/>
    <w:multiLevelType w:val="multilevel"/>
    <w:tmpl w:val="CA66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3551F8"/>
    <w:multiLevelType w:val="multilevel"/>
    <w:tmpl w:val="9700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F8719E"/>
    <w:multiLevelType w:val="multilevel"/>
    <w:tmpl w:val="35D0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35211C"/>
    <w:multiLevelType w:val="multilevel"/>
    <w:tmpl w:val="C042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7B03A4"/>
    <w:multiLevelType w:val="multilevel"/>
    <w:tmpl w:val="CBC6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20352F"/>
    <w:multiLevelType w:val="multilevel"/>
    <w:tmpl w:val="36F0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11118F"/>
    <w:multiLevelType w:val="multilevel"/>
    <w:tmpl w:val="7EF4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BD44D8"/>
    <w:multiLevelType w:val="multilevel"/>
    <w:tmpl w:val="9512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1F76F1"/>
    <w:multiLevelType w:val="multilevel"/>
    <w:tmpl w:val="AD4E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0C5F12"/>
    <w:multiLevelType w:val="multilevel"/>
    <w:tmpl w:val="F358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D364A0"/>
    <w:multiLevelType w:val="multilevel"/>
    <w:tmpl w:val="4470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BC18C8"/>
    <w:multiLevelType w:val="multilevel"/>
    <w:tmpl w:val="F2F2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994553"/>
    <w:multiLevelType w:val="multilevel"/>
    <w:tmpl w:val="980C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444D80"/>
    <w:multiLevelType w:val="multilevel"/>
    <w:tmpl w:val="BD08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E00EBF"/>
    <w:multiLevelType w:val="multilevel"/>
    <w:tmpl w:val="C77C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510B33"/>
    <w:multiLevelType w:val="multilevel"/>
    <w:tmpl w:val="CD6C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CC047F"/>
    <w:multiLevelType w:val="multilevel"/>
    <w:tmpl w:val="67BC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FE3EB6"/>
    <w:multiLevelType w:val="multilevel"/>
    <w:tmpl w:val="245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7A25BA"/>
    <w:multiLevelType w:val="multilevel"/>
    <w:tmpl w:val="F692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D7275B"/>
    <w:multiLevelType w:val="multilevel"/>
    <w:tmpl w:val="1846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A36D7A"/>
    <w:multiLevelType w:val="multilevel"/>
    <w:tmpl w:val="7D56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F12D1A"/>
    <w:multiLevelType w:val="multilevel"/>
    <w:tmpl w:val="1AA0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8C3FAE"/>
    <w:multiLevelType w:val="multilevel"/>
    <w:tmpl w:val="6AD4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BF5EE0"/>
    <w:multiLevelType w:val="multilevel"/>
    <w:tmpl w:val="F72C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4A763F"/>
    <w:multiLevelType w:val="multilevel"/>
    <w:tmpl w:val="32D2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6D3F23"/>
    <w:multiLevelType w:val="multilevel"/>
    <w:tmpl w:val="C836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C453F1"/>
    <w:multiLevelType w:val="multilevel"/>
    <w:tmpl w:val="2D74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2E1C13"/>
    <w:multiLevelType w:val="multilevel"/>
    <w:tmpl w:val="91E4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E55951"/>
    <w:multiLevelType w:val="multilevel"/>
    <w:tmpl w:val="9284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E5200D"/>
    <w:multiLevelType w:val="multilevel"/>
    <w:tmpl w:val="8EC8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832C85"/>
    <w:multiLevelType w:val="multilevel"/>
    <w:tmpl w:val="5000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026E1F"/>
    <w:multiLevelType w:val="multilevel"/>
    <w:tmpl w:val="CE6A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B12580"/>
    <w:multiLevelType w:val="multilevel"/>
    <w:tmpl w:val="B5A4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860749"/>
    <w:multiLevelType w:val="multilevel"/>
    <w:tmpl w:val="6F1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521720">
    <w:abstractNumId w:val="30"/>
  </w:num>
  <w:num w:numId="2" w16cid:durableId="1752311589">
    <w:abstractNumId w:val="23"/>
  </w:num>
  <w:num w:numId="3" w16cid:durableId="1911647582">
    <w:abstractNumId w:val="1"/>
  </w:num>
  <w:num w:numId="4" w16cid:durableId="2067027822">
    <w:abstractNumId w:val="5"/>
  </w:num>
  <w:num w:numId="5" w16cid:durableId="1666274405">
    <w:abstractNumId w:val="32"/>
  </w:num>
  <w:num w:numId="6" w16cid:durableId="354160315">
    <w:abstractNumId w:val="40"/>
  </w:num>
  <w:num w:numId="7" w16cid:durableId="42412275">
    <w:abstractNumId w:val="34"/>
  </w:num>
  <w:num w:numId="8" w16cid:durableId="1280530201">
    <w:abstractNumId w:val="18"/>
  </w:num>
  <w:num w:numId="9" w16cid:durableId="1440176536">
    <w:abstractNumId w:val="16"/>
  </w:num>
  <w:num w:numId="10" w16cid:durableId="1503659391">
    <w:abstractNumId w:val="41"/>
  </w:num>
  <w:num w:numId="11" w16cid:durableId="1848789390">
    <w:abstractNumId w:val="46"/>
  </w:num>
  <w:num w:numId="12" w16cid:durableId="1690064442">
    <w:abstractNumId w:val="2"/>
  </w:num>
  <w:num w:numId="13" w16cid:durableId="639657088">
    <w:abstractNumId w:val="28"/>
  </w:num>
  <w:num w:numId="14" w16cid:durableId="1843861674">
    <w:abstractNumId w:val="26"/>
  </w:num>
  <w:num w:numId="15" w16cid:durableId="959915584">
    <w:abstractNumId w:val="45"/>
  </w:num>
  <w:num w:numId="16" w16cid:durableId="1899055042">
    <w:abstractNumId w:val="14"/>
  </w:num>
  <w:num w:numId="17" w16cid:durableId="1565408094">
    <w:abstractNumId w:val="17"/>
  </w:num>
  <w:num w:numId="18" w16cid:durableId="1316686665">
    <w:abstractNumId w:val="24"/>
  </w:num>
  <w:num w:numId="19" w16cid:durableId="344478729">
    <w:abstractNumId w:val="22"/>
  </w:num>
  <w:num w:numId="20" w16cid:durableId="1837963693">
    <w:abstractNumId w:val="15"/>
  </w:num>
  <w:num w:numId="21" w16cid:durableId="1599673341">
    <w:abstractNumId w:val="31"/>
  </w:num>
  <w:num w:numId="22" w16cid:durableId="1973905924">
    <w:abstractNumId w:val="13"/>
  </w:num>
  <w:num w:numId="23" w16cid:durableId="2019694645">
    <w:abstractNumId w:val="42"/>
  </w:num>
  <w:num w:numId="24" w16cid:durableId="81724642">
    <w:abstractNumId w:val="38"/>
  </w:num>
  <w:num w:numId="25" w16cid:durableId="1427964096">
    <w:abstractNumId w:val="7"/>
  </w:num>
  <w:num w:numId="26" w16cid:durableId="585724965">
    <w:abstractNumId w:val="3"/>
  </w:num>
  <w:num w:numId="27" w16cid:durableId="208347197">
    <w:abstractNumId w:val="44"/>
  </w:num>
  <w:num w:numId="28" w16cid:durableId="942031256">
    <w:abstractNumId w:val="0"/>
  </w:num>
  <w:num w:numId="29" w16cid:durableId="1190802101">
    <w:abstractNumId w:val="47"/>
  </w:num>
  <w:num w:numId="30" w16cid:durableId="2125415318">
    <w:abstractNumId w:val="8"/>
  </w:num>
  <w:num w:numId="31" w16cid:durableId="241454140">
    <w:abstractNumId w:val="10"/>
  </w:num>
  <w:num w:numId="32" w16cid:durableId="1362782243">
    <w:abstractNumId w:val="36"/>
  </w:num>
  <w:num w:numId="33" w16cid:durableId="1061253081">
    <w:abstractNumId w:val="37"/>
  </w:num>
  <w:num w:numId="34" w16cid:durableId="1308128327">
    <w:abstractNumId w:val="21"/>
  </w:num>
  <w:num w:numId="35" w16cid:durableId="966085726">
    <w:abstractNumId w:val="6"/>
  </w:num>
  <w:num w:numId="36" w16cid:durableId="458691169">
    <w:abstractNumId w:val="39"/>
  </w:num>
  <w:num w:numId="37" w16cid:durableId="34620757">
    <w:abstractNumId w:val="27"/>
  </w:num>
  <w:num w:numId="38" w16cid:durableId="1780293740">
    <w:abstractNumId w:val="11"/>
  </w:num>
  <w:num w:numId="39" w16cid:durableId="646596145">
    <w:abstractNumId w:val="9"/>
  </w:num>
  <w:num w:numId="40" w16cid:durableId="175072639">
    <w:abstractNumId w:val="12"/>
  </w:num>
  <w:num w:numId="41" w16cid:durableId="327907300">
    <w:abstractNumId w:val="4"/>
  </w:num>
  <w:num w:numId="42" w16cid:durableId="466974499">
    <w:abstractNumId w:val="29"/>
  </w:num>
  <w:num w:numId="43" w16cid:durableId="677274124">
    <w:abstractNumId w:val="33"/>
  </w:num>
  <w:num w:numId="44" w16cid:durableId="1910724297">
    <w:abstractNumId w:val="20"/>
  </w:num>
  <w:num w:numId="45" w16cid:durableId="1656105716">
    <w:abstractNumId w:val="25"/>
  </w:num>
  <w:num w:numId="46" w16cid:durableId="1199507285">
    <w:abstractNumId w:val="48"/>
  </w:num>
  <w:num w:numId="47" w16cid:durableId="369915210">
    <w:abstractNumId w:val="43"/>
  </w:num>
  <w:num w:numId="48" w16cid:durableId="1717853731">
    <w:abstractNumId w:val="35"/>
  </w:num>
  <w:num w:numId="49" w16cid:durableId="124776199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F42"/>
    <w:rsid w:val="00017851"/>
    <w:rsid w:val="000D0FBA"/>
    <w:rsid w:val="001016DA"/>
    <w:rsid w:val="003B759D"/>
    <w:rsid w:val="003E7BBD"/>
    <w:rsid w:val="004801E6"/>
    <w:rsid w:val="004C08A5"/>
    <w:rsid w:val="006C07F9"/>
    <w:rsid w:val="00910E9C"/>
    <w:rsid w:val="00994F42"/>
    <w:rsid w:val="00B51B81"/>
    <w:rsid w:val="00B55D53"/>
    <w:rsid w:val="00B908EE"/>
    <w:rsid w:val="00E14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6971E0"/>
  <w15:chartTrackingRefBased/>
  <w15:docId w15:val="{48983279-2EDC-4804-8CF4-A1E859E3B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4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4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4F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4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4F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4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4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4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4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4F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4F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4F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4F4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4F4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4F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4F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4F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4F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4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4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4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4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4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4F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4F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4F4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4F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4F4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4F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453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2026-10-12T03:12:00Z</dcterms:created>
  <dcterms:modified xsi:type="dcterms:W3CDTF">2026-10-12T03:33:00Z</dcterms:modified>
</cp:coreProperties>
</file>