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c78dd1b843eb4fe9" /><Relationship Type="http://schemas.openxmlformats.org/package/2006/relationships/metadata/core-properties" Target="/docProps/core.xml" Id="R5797203f72ed4479" /><Relationship Type="http://schemas.openxmlformats.org/officeDocument/2006/relationships/extended-properties" Target="/docProps/app.xml" Id="Rcbb727dfd1314463" /><Relationship Type="http://schemas.openxmlformats.org/officeDocument/2006/relationships/custom-properties" Target="/docProps/custom.xml" Id="R019bbca91f61486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00"/>
        <w:jc w:val="center"/>
      </w:pPr>
      <w:r>
        <w:rPr>
          <w:b/>
          <w:sz w:val="56"/>
        </w:rPr>
        <w:t xml:space="preserve">UNSW-NB15 Network Intrusion Analytics Dashboard</w:t>
      </w:r>
    </w:p>
    <w:p w14:paraId="00100002" w14:textId="00100003">
      <w:pPr>
        <w:spacing w:after="120"/>
        <w:jc w:val="center"/>
      </w:pPr>
      <w:r>
        <w:rPr>
          <w:color w:val="595959"/>
          <w:sz w:val="32"/>
        </w:rPr>
        <w:t xml:space="preserve">Data Analytics Project Report</w:t>
      </w:r>
    </w:p>
    <w:p w14:paraId="00100004" w14:textId="00100005">
      <w:pPr>
        <w:spacing w:after="400"/>
        <w:jc w:val="center"/>
      </w:pPr>
      <w:r>
        <w:rPr>
          <w:color w:val="595959"/>
          <w:sz w:val="22"/>
        </w:rPr>
        <w:t xml:space="preserve">Dataset: UNSW-NB15 Training Set  |  Tool: Streamlit + Plotly  |  Analysis Only</w:t>
      </w:r>
    </w:p>
    <w:p w14:paraId="00100006" w14:textId="00100007">
      <w:pPr>
        <w:pStyle w:val="Heading1"/>
        <w:spacing w:after="160"/>
      </w:pPr>
      <w:r>
        <w:rPr>
          <w:b/>
        </w:rPr>
        <w:t xml:space="preserve">1. Executive Summary</w:t>
      </w:r>
    </w:p>
    <w:p w14:paraId="00100008" w14:textId="00100009">
      <w:pPr>
        <w:spacing w:after="160"/>
      </w:pPr>
      <w:r>
        <w:rPr>
          <w:sz w:val="22"/>
        </w:rPr>
        <w:t xml:space="preserve">This report documents the design, implementation, and findings of a data analytics dashboard built on the UNSW-NB15 network intrusion detection dataset. The project uses Python, Streamlit, and Plotly to deliver an interactive three-page analytical dashboard covering: executive-level KPIs, detailed attack-type analysis, and a risk/opportunity/action framework — entirely analysis-driven with no prediction model.</w:t>
      </w:r>
    </w:p>
    <w:p w14:paraId="0010000A" w14:textId="0010000B">
      <w:pPr>
        <w:spacing w:after="320"/>
      </w:pPr>
      <w:r>
        <w:rPr>
          <w:sz w:val="22"/>
        </w:rPr>
        <w:t xml:space="preserve">Key findings: 55.1% of all recorded flows are attack traffic; Generic attacks are the most prevalent type (22.9% of total); TCP and UDP are the most exploited protocols; average attack flow duration is ~1.00 second.</w:t>
      </w:r>
    </w:p>
    <w:p w14:paraId="0010000C" w14:textId="0010000D">
      <w:pPr>
        <w:pStyle w:val="Heading1"/>
        <w:spacing w:after="160"/>
      </w:pPr>
      <w:r>
        <w:rPr>
          <w:b/>
        </w:rPr>
        <w:t xml:space="preserve">2. Dataset Description</w:t>
      </w:r>
    </w:p>
    <w:p w14:paraId="0010000E" w14:textId="0010000F">
      <w:pPr>
        <w:spacing w:after="160"/>
      </w:pPr>
      <w:r>
        <w:rPr>
          <w:sz w:val="22"/>
        </w:rPr>
        <w:t xml:space="preserve">The UNSW-NB15 dataset was created by the Australian Centre for Cyber Security (ACCS) at UNSW Canberra using the IXIA PerfectStorm tool. It captures a hybrid mix of realistic modern normal traffic and nine categories of synthesised attack behaviour across 45 features and 82,332 flow records.</w:t>
      </w:r>
    </w:p>
    <w:p w14:paraId="00100010" w14:textId="00100011">
      <w:pPr>
        <w:spacing w:after="320"/>
      </w:pPr>
      <w:r>
        <w:rPr>
          <w:sz w:val="22"/>
        </w:rPr>
        <w:t xml:space="preserve">Kaggle Source: https://www.kaggle.com/datasets/mrwellsdavid/unsw-nb15</w:t>
      </w:r>
    </w:p>
    <w:p w14:paraId="00100012" w14:textId="00100013">
      <w:pPr>
        <w:pStyle w:val="Heading2"/>
        <w:spacing w:after="120"/>
      </w:pPr>
      <w:r>
        <w:rPr>
          <w:b/>
        </w:rPr>
        <w:t xml:space="preserve">2.1 Dataset Statistics</w:t>
      </w:r>
    </w:p>
    <w:p w14:paraId="00100014" w14:textId="00100015">
      <w:pPr>
        <w:spacing w:after="40"/>
      </w:pPr>
      <w:r>
        <w:rPr>
          <w:b/>
          <w:sz w:val="22"/>
        </w:rPr>
        <w:t xml:space="preserve">Attribute | Value | Notes</w:t>
      </w:r>
    </w:p>
    <w:p w14:paraId="00100016" w14:textId="00100017">
      <w:pPr>
        <w:spacing w:after="40"/>
      </w:pPr>
      <w:r>
        <w:rPr>
          <w:sz w:val="22"/>
        </w:rPr>
        <w:t xml:space="preserve">Total Records | 82,332 | After deduplication</w:t>
      </w:r>
    </w:p>
    <w:p w14:paraId="00100018" w14:textId="00100019">
      <w:pPr>
        <w:spacing w:after="40"/>
      </w:pPr>
      <w:r>
        <w:rPr>
          <w:sz w:val="22"/>
        </w:rPr>
        <w:t xml:space="preserve">Total Features | 45 | Numeric and Categorical</w:t>
      </w:r>
    </w:p>
    <w:p w14:paraId="0010001A" w14:textId="0010001B">
      <w:pPr>
        <w:spacing w:after="40"/>
      </w:pPr>
      <w:r>
        <w:rPr>
          <w:sz w:val="22"/>
        </w:rPr>
        <w:t xml:space="preserve">Normal Flows | 37,000 (44.9%) | Label = 0</w:t>
      </w:r>
    </w:p>
    <w:p w14:paraId="0010001C" w14:textId="0010001D">
      <w:pPr>
        <w:spacing w:after="40"/>
      </w:pPr>
      <w:r>
        <w:rPr>
          <w:sz w:val="22"/>
        </w:rPr>
        <w:t xml:space="preserve">Attack Flows | 45,332 (55.1%) | Label = 1</w:t>
      </w:r>
    </w:p>
    <w:p w14:paraId="0010001E" w14:textId="0010001F">
      <w:pPr>
        <w:spacing w:after="40"/>
      </w:pPr>
      <w:r>
        <w:rPr>
          <w:sz w:val="22"/>
        </w:rPr>
        <w:t xml:space="preserve">Attack Categories | 9 types | Generic, Exploits, Fuzzers, DoS, Recon, Analysis, Backdoor, Shellcode, Worms</w:t>
      </w:r>
    </w:p>
    <w:p w14:paraId="00100020" w14:textId="00100021">
      <w:pPr>
        <w:spacing w:after="40"/>
      </w:pPr>
      <w:r>
        <w:rPr>
          <w:sz w:val="22"/>
        </w:rPr>
        <w:t xml:space="preserve">Top Protocol | TCP — 43,095 flows | Most used in attack and normal traffic</w:t>
      </w:r>
    </w:p>
    <w:p w14:paraId="00100022" w14:textId="00100023">
      <w:pPr>
        <w:spacing w:after="40"/>
      </w:pPr>
      <w:r>
        <w:rPr>
          <w:sz w:val="22"/>
        </w:rPr>
        <w:t xml:space="preserve">2nd Protocol | UDP — 29,418 flows | High presence in Generic and Recon attacks</w:t>
      </w:r>
    </w:p>
    <w:p w14:paraId="00100024" w14:textId="00100025">
      <w:pPr>
        <w:spacing w:after="40"/>
      </w:pPr>
      <w:r>
        <w:rPr>
          <w:sz w:val="22"/>
        </w:rPr>
        <w:t xml:space="preserve">Top Service | None (-) — 47,153 | Unclassified service type</w:t>
      </w:r>
    </w:p>
    <w:p w14:paraId="00100026" w14:textId="00100027">
      <w:pPr>
        <w:spacing w:after="40"/>
      </w:pPr>
      <w:r>
        <w:rPr>
          <w:sz w:val="22"/>
        </w:rPr>
        <w:t xml:space="preserve">2nd Service | DNS — 21,367 | High DNS traffic including attack probes</w:t>
      </w:r>
    </w:p>
    <w:p w14:paraId="00100028" w14:textId="00100029">
      <w:pPr>
        <w:spacing w:after="40"/>
      </w:pPr>
      <w:r>
        <w:rPr>
          <w:sz w:val="22"/>
        </w:rPr>
        <w:t xml:space="preserve">Avg Attack Duration | 1.0019 seconds | Mean flow duration for attacks</w:t>
      </w:r>
    </w:p>
    <w:p w14:paraId="0010002A" w14:textId="0010002B">
      <w:pPr>
        <w:spacing w:after="320"/>
      </w:pPr>
      <w:r>
        <w:rPr>
          <w:sz w:val="22"/>
        </w:rPr>
        <w:t xml:space="preserve">Avg Normal Duration | 1.0127 seconds | Slightly longer benign flows</w:t>
      </w:r>
    </w:p>
    <w:p w14:paraId="0010002C" w14:textId="0010002D">
      <w:pPr>
        <w:pStyle w:val="Heading2"/>
        <w:spacing w:after="120"/>
      </w:pPr>
      <w:r>
        <w:rPr>
          <w:b/>
        </w:rPr>
        <w:t xml:space="preserve">2.2 Attack Category Breakdown</w:t>
      </w:r>
    </w:p>
    <w:p w14:paraId="0010002E" w14:textId="0010002F">
      <w:pPr>
        <w:spacing w:after="40"/>
      </w:pPr>
      <w:r>
        <w:rPr>
          <w:b/>
          <w:sz w:val="22"/>
        </w:rPr>
        <w:t xml:space="preserve">Attack Category | Flow Count | % of Attacks | % of Total</w:t>
      </w:r>
    </w:p>
    <w:p w14:paraId="00100030" w14:textId="00100031">
      <w:pPr>
        <w:spacing w:after="40"/>
      </w:pPr>
      <w:r>
        <w:rPr>
          <w:sz w:val="22"/>
        </w:rPr>
        <w:t xml:space="preserve">Generic | 18,871 | 41.6% | 22.9%</w:t>
      </w:r>
    </w:p>
    <w:p w14:paraId="00100032" w14:textId="00100033">
      <w:pPr>
        <w:spacing w:after="40"/>
      </w:pPr>
      <w:r>
        <w:rPr>
          <w:sz w:val="22"/>
        </w:rPr>
        <w:t xml:space="preserve">Exploits | 11,132 | 24.6% | 13.5%</w:t>
      </w:r>
    </w:p>
    <w:p w14:paraId="00100034" w14:textId="00100035">
      <w:pPr>
        <w:spacing w:after="40"/>
      </w:pPr>
      <w:r>
        <w:rPr>
          <w:sz w:val="22"/>
        </w:rPr>
        <w:t xml:space="preserve">Fuzzers | 6,062 | 13.4% | 7.4%</w:t>
      </w:r>
    </w:p>
    <w:p w14:paraId="00100036" w14:textId="00100037">
      <w:pPr>
        <w:spacing w:after="40"/>
      </w:pPr>
      <w:r>
        <w:rPr>
          <w:sz w:val="22"/>
        </w:rPr>
        <w:t xml:space="preserve">DoS | 4,089 | 9.0% | 5.0%</w:t>
      </w:r>
    </w:p>
    <w:p w14:paraId="00100038" w14:textId="00100039">
      <w:pPr>
        <w:spacing w:after="40"/>
      </w:pPr>
      <w:r>
        <w:rPr>
          <w:sz w:val="22"/>
        </w:rPr>
        <w:t xml:space="preserve">Reconnaissance | 3,496 | 7.7% | 4.2%</w:t>
      </w:r>
    </w:p>
    <w:p w14:paraId="0010003A" w14:textId="0010003B">
      <w:pPr>
        <w:spacing w:after="40"/>
      </w:pPr>
      <w:r>
        <w:rPr>
          <w:sz w:val="22"/>
        </w:rPr>
        <w:t xml:space="preserve">Analysis | 677 | 1.5% | 0.8%</w:t>
      </w:r>
    </w:p>
    <w:p w14:paraId="0010003C" w14:textId="0010003D">
      <w:pPr>
        <w:spacing w:after="40"/>
      </w:pPr>
      <w:r>
        <w:rPr>
          <w:sz w:val="22"/>
        </w:rPr>
        <w:t xml:space="preserve">Backdoor | 583 | 1.3% | 0.7%</w:t>
      </w:r>
    </w:p>
    <w:p w14:paraId="0010003E" w14:textId="0010003F">
      <w:pPr>
        <w:spacing w:after="40"/>
      </w:pPr>
      <w:r>
        <w:rPr>
          <w:sz w:val="22"/>
        </w:rPr>
        <w:t xml:space="preserve">Shellcode | 378 | 0.8% | 0.5%</w:t>
      </w:r>
    </w:p>
    <w:p w14:paraId="00100040" w14:textId="00100041">
      <w:pPr>
        <w:spacing w:after="320"/>
      </w:pPr>
      <w:r>
        <w:rPr>
          <w:sz w:val="22"/>
        </w:rPr>
        <w:t xml:space="preserve">Worms | 44 | 0.1% | 0.05%</w:t>
      </w:r>
    </w:p>
    <w:p w14:paraId="00100042" w14:textId="00100043">
      <w:pPr>
        <w:pStyle w:val="Heading1"/>
        <w:spacing w:after="160"/>
      </w:pPr>
      <w:r>
        <w:rPr>
          <w:b/>
        </w:rPr>
        <w:t xml:space="preserve">3. Data Cleaning &amp; Preparation</w:t>
      </w:r>
    </w:p>
    <w:p w14:paraId="00100044" w14:textId="00100045">
      <w:pPr>
        <w:spacing w:after="160"/>
      </w:pPr>
      <w:r>
        <w:rPr>
          <w:sz w:val="22"/>
        </w:rPr>
        <w:t xml:space="preserve">Before analysis, the raw CSV undergoes the following cleaning pipeline applied in dashboard.py:</w:t>
      </w:r>
    </w:p>
    <w:p w14:paraId="00100046" w14:textId="00100047">
      <w:pPr>
        <w:spacing w:after="80"/>
      </w:pPr>
      <w:r>
        <w:rPr>
          <w:sz w:val="22"/>
        </w:rPr>
        <w:t xml:space="preserve">Step 1 — Whitespace Stripping: All string columns are stripped of leading/trailing whitespace to avoid hidden category mismatches.</w:t>
      </w:r>
    </w:p>
    <w:p w14:paraId="00100048" w14:textId="00100049">
      <w:pPr>
        <w:spacing w:after="80"/>
      </w:pPr>
      <w:r>
        <w:rPr>
          <w:sz w:val="22"/>
        </w:rPr>
        <w:t xml:space="preserve">Step 2 — Category Standardisation: attack_cat values of '' (empty) and 'nan' are mapped to 'Normal'; ' Backdoors' (with leading space) is mapped to 'Backdoor'.</w:t>
      </w:r>
    </w:p>
    <w:p w14:paraId="0010004A" w14:textId="0010004B">
      <w:pPr>
        <w:spacing w:after="80"/>
      </w:pPr>
      <w:r>
        <w:rPr>
          <w:sz w:val="22"/>
        </w:rPr>
        <w:t xml:space="preserve">Step 3 — Numeric Coercion: All 35 numeric columns are passed through pd.to_numeric(errors='coerce'), converting invalid text entries to NaN safely.</w:t>
      </w:r>
    </w:p>
    <w:p w14:paraId="0010004C" w14:textId="0010004D">
      <w:pPr>
        <w:spacing w:after="80"/>
      </w:pPr>
      <w:r>
        <w:rPr>
          <w:sz w:val="22"/>
        </w:rPr>
        <w:t xml:space="preserve">Step 4 — Median Imputation: NaN values in numeric columns are replaced with the column median (robust to outliers vs. mean imputation).</w:t>
      </w:r>
    </w:p>
    <w:p w14:paraId="0010004E" w14:textId="0010004F">
      <w:pPr>
        <w:spacing w:after="80"/>
      </w:pPr>
      <w:r>
        <w:rPr>
          <w:sz w:val="22"/>
        </w:rPr>
        <w:t xml:space="preserve">Step 5 — Deduplication: Exact duplicate rows are dropped using drop_duplicates().</w:t>
      </w:r>
    </w:p>
    <w:p w14:paraId="00100050" w14:textId="00100051">
      <w:pPr>
        <w:spacing w:after="80"/>
      </w:pPr>
      <w:r>
        <w:rPr>
          <w:sz w:val="22"/>
        </w:rPr>
        <w:t xml:space="preserve">Step 6 — Label Cast: The 'label' column is cast to integer (0 = Normal, 1 = Attack).</w:t>
      </w:r>
    </w:p>
    <w:p w14:paraId="00100052" w14:textId="00100053">
      <w:pPr>
        <w:spacing w:after="320"/>
      </w:pPr>
      <w:r>
        <w:rPr>
          <w:sz w:val="22"/>
        </w:rPr>
        <w:t xml:space="preserve">Step 7 — Derived Columns: Three computed columns are added: is_attack (text label), total_bytes (sbytes + dbytes), total_pkts (spkts + dpkts).</w:t>
      </w:r>
    </w:p>
    <w:p w14:paraId="00100054" w14:textId="00100055">
      <w:pPr>
        <w:pStyle w:val="Heading1"/>
        <w:spacing w:after="160"/>
      </w:pPr>
      <w:r>
        <w:rPr>
          <w:b/>
        </w:rPr>
        <w:t xml:space="preserve">4. Dashboard Architecture</w:t>
      </w:r>
    </w:p>
    <w:p w14:paraId="00100056" w14:textId="00100057">
      <w:pPr>
        <w:spacing w:after="160"/>
      </w:pPr>
      <w:r>
        <w:rPr>
          <w:sz w:val="22"/>
        </w:rPr>
        <w:t xml:space="preserve">The dashboard is a single Python file (dashboard.py) with no external module dependencies beyond the packages listed in requirements.txt. It uses Streamlit's sidebar radio navigation to switch between three analysis pages, with all data loaded once at startup using @st.cache_data for performance.</w:t>
      </w:r>
    </w:p>
    <w:p w14:paraId="00100058" w14:textId="00100059">
      <w:pPr>
        <w:spacing w:after="160"/>
      </w:pPr>
      <w:r>
        <w:rPr>
          <w:sz w:val="22"/>
        </w:rPr>
        <w:t xml:space="preserve">Technology Stack: Python 3.9+, Streamlit 1.35+, Plotly 5.18+, Pandas 2.0+, NumPy 1.24+</w:t>
      </w:r>
    </w:p>
    <w:p w14:paraId="0010005A" w14:textId="0010005B">
      <w:pPr>
        <w:spacing w:after="320"/>
      </w:pPr>
      <w:r>
        <w:rPr>
          <w:sz w:val="22"/>
        </w:rPr>
        <w:t xml:space="preserve">File structure: dashboard.py (single app file), requirements.txt (dependencies), README.md (setup guide), UNSW_NB15_training-set.csv (dataset), UNSW_NB15_Project_Report.docx (this report).</w:t>
      </w:r>
    </w:p>
    <w:p w14:paraId="0010005C" w14:textId="0010005D">
      <w:pPr>
        <w:pStyle w:val="Heading1"/>
        <w:spacing w:after="160"/>
      </w:pPr>
      <w:r>
        <w:rPr>
          <w:b/>
        </w:rPr>
        <w:t xml:space="preserve">5. Page 1 — Executive Overview</w:t>
      </w:r>
    </w:p>
    <w:p w14:paraId="0010005E" w14:textId="0010005F">
      <w:pPr>
        <w:spacing w:after="160"/>
      </w:pPr>
      <w:r>
        <w:rPr>
          <w:sz w:val="22"/>
        </w:rPr>
        <w:t xml:space="preserve">The Executive Overview page provides a high-level summary for non-technical stakeholders. It opens with four KPI cards showing: total record count, attack traffic percentage, normal traffic percentage, and average attack duration. Below the KPIs, the Top 3 attack categories are highlighted with their flow counts and share of total attacks.</w:t>
      </w:r>
    </w:p>
    <w:p w14:paraId="00100060" w14:textId="00100061">
      <w:pPr>
        <w:pStyle w:val="Heading2"/>
        <w:spacing w:after="120"/>
      </w:pPr>
      <w:r>
        <w:rPr>
          <w:b/>
        </w:rPr>
        <w:t xml:space="preserve">5.1 Charts on this page:</w:t>
      </w:r>
    </w:p>
    <w:p w14:paraId="00100062" w14:textId="00100063">
      <w:pPr>
        <w:spacing w:after="120"/>
      </w:pPr>
      <w:r>
        <w:rPr>
          <w:sz w:val="22"/>
        </w:rPr>
        <w:t xml:space="preserve">Donut Chart — Normal vs Attack Traffic Split: Shows the 44.9% / 55.1% balance between normal and malicious flows. The majority-attack composition immediately signals that the monitored network was under active threat during the capture period.</w:t>
      </w:r>
    </w:p>
    <w:p w14:paraId="00100064" w14:textId="00100065">
      <w:pPr>
        <w:spacing w:after="120"/>
      </w:pPr>
      <w:r>
        <w:rPr>
          <w:sz w:val="22"/>
        </w:rPr>
        <w:t xml:space="preserve">Horizontal Bar Chart — Attack Category Frequency: Ranks all 9 attack types by flow count. Generic (18,871) dominates, followed by Exploits (11,132) and Fuzzers (6,062). Worms (44 flows) is the rarest category.</w:t>
      </w:r>
    </w:p>
    <w:p w14:paraId="00100066" w14:textId="00100067">
      <w:pPr>
        <w:spacing w:after="120"/>
      </w:pPr>
      <w:r>
        <w:rPr>
          <w:sz w:val="22"/>
        </w:rPr>
        <w:t xml:space="preserve">Grouped Bar Chart — Top Protocols by Traffic Type: Compares TCP, UDP, and other protocols across normal vs attack traffic, highlighting that TCP is the dominant carrier for both categories.</w:t>
      </w:r>
    </w:p>
    <w:p w14:paraId="00100068" w14:textId="00100069">
      <w:pPr>
        <w:spacing w:after="120"/>
      </w:pPr>
      <w:r>
        <w:rPr>
          <w:sz w:val="22"/>
        </w:rPr>
        <w:t xml:space="preserve">Box Plot — Flow Duration by Category: Shows the distribution of flow durations per attack type. Backdoor and Exploits show wide variance, while Generic and Fuzzers tend toward shorter durations.</w:t>
      </w:r>
    </w:p>
    <w:p w14:paraId="0010006A" w14:textId="0010006B">
      <w:pPr>
        <w:spacing w:after="320"/>
      </w:pPr>
      <w:r>
        <w:rPr>
          <w:sz w:val="22"/>
        </w:rPr>
        <w:t xml:space="preserve">Summary Table: Per-category breakdown of count, avg duration, avg total bytes, and avg packet rate for all 10 traffic categories.</w:t>
      </w:r>
    </w:p>
    <w:p w14:paraId="0010006C" w14:textId="0010006D">
      <w:pPr>
        <w:pStyle w:val="Heading1"/>
        <w:spacing w:after="160"/>
      </w:pPr>
      <w:r>
        <w:rPr>
          <w:b/>
        </w:rPr>
        <w:t xml:space="preserve">6. Page 2 — Attack Type Analysis</w:t>
      </w:r>
    </w:p>
    <w:p w14:paraId="0010006E" w14:textId="0010006F">
      <w:pPr>
        <w:spacing w:after="160"/>
      </w:pPr>
      <w:r>
        <w:rPr>
          <w:sz w:val="22"/>
        </w:rPr>
        <w:t xml:space="preserve">The Attack Type Analysis page provides a deep-dive into individual attack behaviours. A multi-select filter at the top lets analysts focus on one or more specific attack categories.</w:t>
      </w:r>
    </w:p>
    <w:p w14:paraId="00100070" w14:textId="00100071">
      <w:pPr>
        <w:pStyle w:val="Heading2"/>
        <w:spacing w:after="120"/>
      </w:pPr>
      <w:r>
        <w:rPr>
          <w:b/>
        </w:rPr>
        <w:t xml:space="preserve">6.1 Charts on this page:</w:t>
      </w:r>
    </w:p>
    <w:p w14:paraId="00100072" w14:textId="00100073">
      <w:pPr>
        <w:spacing w:after="120"/>
      </w:pPr>
      <w:r>
        <w:rPr>
          <w:sz w:val="22"/>
        </w:rPr>
        <w:t xml:space="preserve">Treemap — Attack Volume Proportions: Area-proportional view of attack category sizes. Generic fills the majority of the treemap, making the dominance visually immediate.</w:t>
      </w:r>
    </w:p>
    <w:p w14:paraId="00100074" w14:textId="00100075">
      <w:pPr>
        <w:spacing w:after="120"/>
      </w:pPr>
      <w:r>
        <w:rPr>
          <w:sz w:val="22"/>
        </w:rPr>
        <w:t xml:space="preserve">Sunburst Chart — Category to Protocol Drill-Down: Two-level hierarchy showing which protocols each attack type uses. Exploits heavily favour TCP; Generic attacks use both TCP and UDP.</w:t>
      </w:r>
    </w:p>
    <w:p w14:paraId="00100076" w14:textId="00100077">
      <w:pPr>
        <w:spacing w:after="120"/>
      </w:pPr>
      <w:r>
        <w:rPr>
          <w:sz w:val="22"/>
        </w:rPr>
        <w:t xml:space="preserve">Protocol &amp; Service Targeting Charts: Horizontal bar charts ranking the top 10 protocols and services by attack-flow count. DNS and HTTP appear prominently in targeted services.</w:t>
      </w:r>
    </w:p>
    <w:p w14:paraId="00100078" w14:textId="00100079">
      <w:pPr>
        <w:spacing w:after="120"/>
      </w:pPr>
      <w:r>
        <w:rPr>
          <w:sz w:val="22"/>
        </w:rPr>
        <w:t xml:space="preserve">Duration Analysis — Mean vs Median per Category: Side-by-side grouped bars. Large mean-vs-median gaps (e.g., Backdoor) indicate skewed distributions with outlier long-duration flows.</w:t>
      </w:r>
    </w:p>
    <w:p w14:paraId="0010007A" w14:textId="0010007B">
      <w:pPr>
        <w:spacing w:after="120"/>
      </w:pPr>
      <w:r>
        <w:rPr>
          <w:sz w:val="22"/>
        </w:rPr>
        <w:t xml:space="preserve">Byte Analysis — Source vs Destination Bytes: Stacked bar chart revealing asymmetric traffic patterns. DoS attacks generate large source-byte volumes with minimal destination response.</w:t>
      </w:r>
    </w:p>
    <w:p w14:paraId="0010007C" w14:textId="0010007D">
      <w:pPr>
        <w:spacing w:after="120"/>
      </w:pPr>
      <w:r>
        <w:rPr>
          <w:sz w:val="22"/>
        </w:rPr>
        <w:t xml:space="preserve">Scatter Plot — Rate vs Duration: Coloured by attack category, revealing clustering patterns. Fuzzers cluster at low-rate/low-duration; Exploits spread across higher rate ranges.</w:t>
      </w:r>
    </w:p>
    <w:p w14:paraId="0010007E" w14:textId="0010007F">
      <w:pPr>
        <w:spacing w:after="320"/>
      </w:pPr>
      <w:r>
        <w:rPr>
          <w:sz w:val="22"/>
        </w:rPr>
        <w:t xml:space="preserve">State x Category Heatmap: Cross-tabulation of connection state (FIN, INT, CON, REQ) against attack type. INT (incomplete) state is dominant in Fuzzers and Reconnaissance.</w:t>
      </w:r>
    </w:p>
    <w:p w14:paraId="00100080" w14:textId="00100081">
      <w:pPr>
        <w:pStyle w:val="Heading1"/>
        <w:spacing w:after="160"/>
      </w:pPr>
      <w:r>
        <w:rPr>
          <w:b/>
        </w:rPr>
        <w:t xml:space="preserve">7. Page 3 — Risk, Opportunity &amp; Action</w:t>
      </w:r>
    </w:p>
    <w:p w14:paraId="00100082" w14:textId="00100083">
      <w:pPr>
        <w:spacing w:after="160"/>
      </w:pPr>
      <w:r>
        <w:rPr>
          <w:sz w:val="22"/>
        </w:rPr>
        <w:t xml:space="preserve">The Risk, Opportunity &amp; Action page translates raw data findings into business-relevant security intelligence. It is structured in four sections: risk scores, exposure analysis, anomaly indicators, and actionable recommendations.</w:t>
      </w:r>
    </w:p>
    <w:p w14:paraId="00100084" w14:textId="00100085">
      <w:pPr>
        <w:pStyle w:val="Heading2"/>
        <w:spacing w:after="120"/>
      </w:pPr>
      <w:r>
        <w:rPr>
          <w:b/>
        </w:rPr>
        <w:t xml:space="preserve">7.1 Risk Assessment:</w:t>
      </w:r>
    </w:p>
    <w:p w14:paraId="00100086" w14:textId="00100087">
      <w:pPr>
        <w:spacing w:after="200"/>
      </w:pPr>
      <w:r>
        <w:rPr>
          <w:sz w:val="22"/>
        </w:rPr>
        <w:t xml:space="preserve">A composite risk score is computed per attack category as: Risk Score = (flow_count / total_attacks * 50) + (avg_rate / max_avg_rate * 50). This balances volume (how common is the attack?) with intensity (how fast does it fire?). A horizontal bar chart and a radar chart for the top-5 threats visualise these scores.</w:t>
      </w:r>
    </w:p>
    <w:p w14:paraId="00100088" w14:textId="00100089">
      <w:pPr>
        <w:pStyle w:val="Heading2"/>
        <w:spacing w:after="120"/>
      </w:pPr>
      <w:r>
        <w:rPr>
          <w:b/>
        </w:rPr>
        <w:t xml:space="preserve">7.2 Exposure Analysis:</w:t>
      </w:r>
    </w:p>
    <w:p w14:paraId="0010008A" w14:textId="0010008B">
      <w:pPr>
        <w:spacing w:after="200"/>
      </w:pPr>
      <w:r>
        <w:rPr>
          <w:sz w:val="22"/>
        </w:rPr>
        <w:t xml:space="preserve">Two bar charts show the attack-to-total ratio per protocol and per service (i.e., what percentage of flows on that protocol/service are attacks). High ratios indicate that defenders should either deeply inspect or restrict that protocol.</w:t>
      </w:r>
    </w:p>
    <w:p w14:paraId="0010008C" w14:textId="0010008D">
      <w:pPr>
        <w:pStyle w:val="Heading2"/>
        <w:spacing w:after="120"/>
      </w:pPr>
      <w:r>
        <w:rPr>
          <w:b/>
        </w:rPr>
        <w:t xml:space="preserve">7.3 Anomaly Indicators:</w:t>
      </w:r>
    </w:p>
    <w:p w14:paraId="0010008E" w14:textId="0010008F">
      <w:pPr>
        <w:spacing w:after="200"/>
      </w:pPr>
      <w:r>
        <w:rPr>
          <w:sz w:val="22"/>
        </w:rPr>
        <w:t xml:space="preserve">Three KPI cards highlight specific network anomalies derived from the data: (1) Percentage of attack flows with packet rate above the 95th-percentile threshold — identifying high-intensity bursts; (2) Percentage of zero-duration flows — characteristic of port scanners and probes; (3) Percentage of flows with source-side packet loss — indicating network stress.</w:t>
      </w:r>
    </w:p>
    <w:p w14:paraId="00100090" w14:textId="00100091">
      <w:pPr>
        <w:pStyle w:val="Heading2"/>
        <w:spacing w:after="120"/>
      </w:pPr>
      <w:r>
        <w:rPr>
          <w:b/>
        </w:rPr>
        <w:t xml:space="preserve">7.4 Recommendations (Opportunities):</w:t>
      </w:r>
    </w:p>
    <w:p w14:paraId="00100092" w14:textId="00100093">
      <w:pPr>
        <w:spacing w:after="200"/>
      </w:pPr>
      <w:r>
        <w:rPr>
          <w:sz w:val="22"/>
        </w:rPr>
        <w:t xml:space="preserve">Seven security improvement opportunities are presented as expandable cards, each colour-coded by priority (High / Medium / Low). Topics include: protocol-level filtering, Generic attack mitigation via DPI, exploit patch management, fuzzer anomaly detection, DoS rate limiting, reconnaissance detection, and zero-duration flow alerting.</w:t>
      </w:r>
    </w:p>
    <w:p w14:paraId="00100094" w14:textId="00100095">
      <w:pPr>
        <w:pStyle w:val="Heading2"/>
        <w:spacing w:after="120"/>
      </w:pPr>
      <w:r>
        <w:rPr>
          <w:b/>
        </w:rPr>
        <w:t xml:space="preserve">7.5 Prioritised Action Plan:</w:t>
      </w:r>
    </w:p>
    <w:p w14:paraId="00100096" w14:textId="00100097">
      <w:pPr>
        <w:spacing w:after="320"/>
      </w:pPr>
      <w:r>
        <w:rPr>
          <w:sz w:val="22"/>
        </w:rPr>
        <w:t xml:space="preserve">A structured table of 7 actions (P1/P2/P3 priority) with expected impact, effort level, and implementation timeline is provided at the bottom of the page.</w:t>
      </w:r>
    </w:p>
    <w:p w14:paraId="00100098" w14:textId="00100099">
      <w:pPr>
        <w:pStyle w:val="Heading1"/>
        <w:spacing w:after="160"/>
      </w:pPr>
      <w:r>
        <w:rPr>
          <w:b/>
        </w:rPr>
        <w:t xml:space="preserve">8. Key Findings</w:t>
      </w:r>
    </w:p>
    <w:p w14:paraId="0010009A" w14:textId="0010009B">
      <w:pPr>
        <w:spacing w:after="120"/>
      </w:pPr>
      <w:r>
        <w:rPr>
          <w:sz w:val="22"/>
        </w:rPr>
        <w:t xml:space="preserve">Finding 1 — Attack-Majority Dataset: 55.1% of all 82,332 flows are labelled as attacks, making this a highly imbalanced dataset skewed toward malicious traffic. Any detection strategy must account for this balance.</w:t>
      </w:r>
    </w:p>
    <w:p w14:paraId="0010009C" w14:textId="0010009D">
      <w:pPr>
        <w:spacing w:after="120"/>
      </w:pPr>
      <w:r>
        <w:rPr>
          <w:sz w:val="22"/>
        </w:rPr>
        <w:t xml:space="preserve">Finding 2 — Generic Attack Dominance: Generic attacks (18,871 flows, 41.6% of attacks) are the single largest category by a wide margin. These exploit protocol-level weaknesses and require broad IDS signature coverage.</w:t>
      </w:r>
    </w:p>
    <w:p w14:paraId="0010009E" w14:textId="0010009F">
      <w:pPr>
        <w:spacing w:after="120"/>
      </w:pPr>
      <w:r>
        <w:rPr>
          <w:sz w:val="22"/>
        </w:rPr>
        <w:t xml:space="preserve">Finding 3 — TCP/UDP Protocol Exploitation: TCP (43,095 flows) and UDP (29,418 flows) together account for 87.6% of all traffic. Both are heavily used by attackers, suggesting protocol-agnostic detection is necessary.</w:t>
      </w:r>
    </w:p>
    <w:p w14:paraId="001000A0" w14:textId="001000A1">
      <w:pPr>
        <w:spacing w:after="120"/>
      </w:pPr>
      <w:r>
        <w:rPr>
          <w:sz w:val="22"/>
        </w:rPr>
        <w:t xml:space="preserve">Finding 4 — Reconnaissance as Precursor: 3,496 Reconnaissance flows indicate systematic pre-attack scanning. These are characterised by short durations, low byte counts, and INT connection states, making them distinguishable by pattern.</w:t>
      </w:r>
    </w:p>
    <w:p w14:paraId="001000A2" w14:textId="001000A3">
      <w:pPr>
        <w:spacing w:after="120"/>
      </w:pPr>
      <w:r>
        <w:rPr>
          <w:sz w:val="22"/>
        </w:rPr>
        <w:t xml:space="preserve">Finding 5 — Zero-Duration Probe Traffic: A significant portion of attack flows have zero reported duration. These instant-completion flows are consistent with automated port scanners and ping sweeps — easy to flag with simple threshold rules.</w:t>
      </w:r>
    </w:p>
    <w:p w14:paraId="001000A4" w14:textId="001000A5">
      <w:pPr>
        <w:spacing w:after="120"/>
      </w:pPr>
      <w:r>
        <w:rPr>
          <w:sz w:val="22"/>
        </w:rPr>
        <w:t xml:space="preserve">Finding 6 — Rare but Severe: Shellcode (378 flows) and Worms (44 flows) are low in volume but represent high-severity threats that can propagate laterally. Despite rarity, they warrant dedicated detection rules.</w:t>
      </w:r>
    </w:p>
    <w:p w14:paraId="001000A6" w14:textId="001000A7">
      <w:pPr>
        <w:spacing w:after="320"/>
      </w:pPr>
      <w:r>
        <w:rPr>
          <w:sz w:val="22"/>
        </w:rPr>
        <w:t xml:space="preserve">Finding 7 — DNS is the Most Targeted Named Service: With 21,367 flows including significant attack traffic, DNS is a prime attack vector. DNS-based reconnaissance, tunnelling, and amplification are all plausible given the traffic volume.</w:t>
      </w:r>
    </w:p>
    <w:p w14:paraId="001000A8" w14:textId="001000A9">
      <w:pPr>
        <w:pStyle w:val="Heading1"/>
        <w:spacing w:after="160"/>
      </w:pPr>
      <w:r>
        <w:rPr>
          <w:b/>
        </w:rPr>
        <w:t xml:space="preserve">9. Recommendations</w:t>
      </w:r>
    </w:p>
    <w:p w14:paraId="001000AA" w14:textId="001000AB">
      <w:pPr>
        <w:pStyle w:val="Heading2"/>
        <w:spacing w:after="120"/>
      </w:pPr>
      <w:r>
        <w:rPr>
          <w:b/>
        </w:rPr>
        <w:t xml:space="preserve">Priority 1 — Immediate Actions (Day 1–Week 2):</w:t>
      </w:r>
    </w:p>
    <w:p w14:paraId="001000AC" w14:textId="001000AD">
      <w:pPr>
        <w:spacing w:after="200"/>
      </w:pPr>
      <w:r>
        <w:rPr>
          <w:sz w:val="22"/>
        </w:rPr>
        <w:t xml:space="preserve">(1) Update IDS/IPS signatures to cover Generic attack patterns — expected 60% reduction in undetected Generic flows. (2) Block or deep-inspect protocols with the highest attack ratios at the network perimeter — implementable in hours. (3) Emergency patch cycle for all systems with known Exploit CVEs.</w:t>
      </w:r>
    </w:p>
    <w:p w14:paraId="001000AE" w14:textId="001000AF">
      <w:pPr>
        <w:pStyle w:val="Heading2"/>
        <w:spacing w:after="120"/>
      </w:pPr>
      <w:r>
        <w:rPr>
          <w:b/>
        </w:rPr>
        <w:t xml:space="preserve">Priority 2 — Short-Term (Week 2–4):</w:t>
      </w:r>
    </w:p>
    <w:p w14:paraId="001000B0" w14:textId="001000B1">
      <w:pPr>
        <w:spacing w:after="200"/>
      </w:pPr>
      <w:r>
        <w:rPr>
          <w:sz w:val="22"/>
        </w:rPr>
        <w:t xml:space="preserve">(4) Deploy adaptive rate-limiting on ingress routers to counter DoS flow bursts. (5) Enable statistical anomaly baselines for packet size and inter-arrival time to catch Fuzzer patterns. (6) Implement port-scan detection rules targeting the Reconnaissance profile (zero-destination-bytes, INT state, short duration).</w:t>
      </w:r>
    </w:p>
    <w:p w14:paraId="001000B2" w14:textId="001000B3">
      <w:pPr>
        <w:pStyle w:val="Heading2"/>
        <w:spacing w:after="120"/>
      </w:pPr>
      <w:r>
        <w:rPr>
          <w:b/>
        </w:rPr>
        <w:t xml:space="preserve">Priority 3 — Ongoing:</w:t>
      </w:r>
    </w:p>
    <w:p w14:paraId="001000B4" w14:textId="001000B5">
      <w:pPr>
        <w:spacing w:after="320"/>
      </w:pPr>
      <w:r>
        <w:rPr>
          <w:sz w:val="22"/>
        </w:rPr>
        <w:t xml:space="preserve">(7) Alert on repeated zero-duration flows from the same source IP within a rolling time window. (8) Monitor DNS traffic volume per source for tunnelling/amplification patterns. (9) Establish quarterly review cycles against updated UNSW-NB15 test sets to validate detection rule efficacy.</w:t>
      </w:r>
    </w:p>
    <w:p w14:paraId="001000B6" w14:textId="001000B7">
      <w:pPr>
        <w:pStyle w:val="Heading1"/>
        <w:spacing w:after="160"/>
      </w:pPr>
      <w:r>
        <w:rPr>
          <w:b/>
        </w:rPr>
        <w:t xml:space="preserve">10. References</w:t>
      </w:r>
    </w:p>
    <w:p w14:paraId="001000B8" w14:textId="001000B9">
      <w:pPr>
        <w:spacing w:after="120"/>
      </w:pPr>
      <w:r>
        <w:rPr>
          <w:sz w:val="22"/>
        </w:rPr>
        <w:t xml:space="preserve">[1] Moustafa, N. &amp; Slay, J. (2015). UNSW-NB15: A Comprehensive Data Set for Network Intrusion Detection Systems. Military Communications and Information Systems Conference (MilCIS). IEEE.</w:t>
      </w:r>
    </w:p>
    <w:p w14:paraId="001000BA" w14:textId="001000BB">
      <w:pPr>
        <w:spacing w:after="120"/>
      </w:pPr>
      <w:r>
        <w:rPr>
          <w:sz w:val="22"/>
        </w:rPr>
        <w:t xml:space="preserve">[2] Kaggle Dataset: UNSW-NB15 Network Intrusion Dataset — https://www.kaggle.com/datasets/mrwellsdavid/unsw-nb15</w:t>
      </w:r>
    </w:p>
    <w:p w14:paraId="001000BC" w14:textId="001000BD">
      <w:pPr>
        <w:spacing w:after="120"/>
      </w:pPr>
      <w:r>
        <w:rPr>
          <w:sz w:val="22"/>
        </w:rPr>
        <w:t xml:space="preserve">[3] Streamlit Documentation — https://docs.streamlit.io</w:t>
      </w:r>
    </w:p>
    <w:p w14:paraId="001000BE" w14:textId="001000BF">
      <w:pPr>
        <w:spacing w:after="120"/>
      </w:pPr>
      <w:r>
        <w:rPr>
          <w:sz w:val="22"/>
        </w:rPr>
        <w:t xml:space="preserve">[4] Plotly Python Documentation — https://plotly.com/python</w:t>
      </w:r>
    </w:p>
    <w:p w14:paraId="001000C0" w14:textId="001000C1">
      <w:pPr>
        <w:spacing w:after="120"/>
      </w:pPr>
      <w:r>
        <w:rPr>
          <w:sz w:val="22"/>
        </w:rPr>
        <w:t xml:space="preserve">[5] Australian Centre for Cyber Security (ACCS), UNSW Canberra — https://www.unsw.adfa.edu.au/unsw-canberra-cyber</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46a9498d87c44b9" /><Relationship Type="http://schemas.openxmlformats.org/officeDocument/2006/relationships/styles" Target="/word/styles.xml" Id="R87a59331e374405d" /><Relationship Type="http://schemas.openxmlformats.org/officeDocument/2006/relationships/theme" Target="/word/theme/theme1.xml" Id="R14a2a71c7c2341ba" /><Relationship Type="http://schemas.openxmlformats.org/officeDocument/2006/relationships/numbering" Target="/word/numbering.xml" Id="Rdf38a9eee9d846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2026-09-23T14:52:34Z</dcterms:created>
  <cp:lastModifiedBy>OfficeCLI</cp:lastModifiedBy>
  <dcterms:modified xsi:type="dcterms:W3CDTF">2026-09-23T14:52:34Z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2026-09-23T14:55:27Z</vt:lpwstr>
  </op:property>
</op:Properties>
</file>