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 Prospectus Analysis — Black Sesame International Holding Limited</w:t>
      </w:r>
    </w:p>
    <w:p>
      <w:pPr>
        <w:jc w:val="center"/>
      </w:pPr>
      <w:r>
        <w:rPr>
          <w:color w:val="606060"/>
        </w:rPr>
        <w:t>Analysis date: 2024-05-21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rules checked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Insufficient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Not Applicable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Reasoning flags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 xml:space="preserve">  Critical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  High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  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Modules &amp; Rules</w:t>
      </w:r>
    </w:p>
    <w:p>
      <w:pPr>
        <w:pStyle w:val="Heading2"/>
      </w:pPr>
      <w:r>
        <w:t>Module 0: Pre-Conditions and Company Classification</w:t>
      </w:r>
    </w:p>
    <w:p>
      <w:pPr>
        <w:spacing w:before="120"/>
      </w:pPr>
      <w:r>
        <w:rPr>
          <w:b/>
          <w:sz w:val="22"/>
        </w:rPr>
        <w:t>Rule P1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P3</w:t>
      </w:r>
      <w:r>
        <w:t xml:space="preserve">   </w:t>
      </w:r>
      <w:r>
        <w:rPr>
          <w:b/>
          <w:color w:val="E67E00"/>
        </w:rPr>
        <w:t>[Insufficient]</w:t>
      </w:r>
    </w:p>
    <w:p/>
    <w:p>
      <w:pPr>
        <w:pStyle w:val="Heading2"/>
      </w:pPr>
      <w:r>
        <w:t>Module A: Independence</w:t>
      </w:r>
    </w:p>
    <w:p>
      <w:pPr>
        <w:spacing w:before="120"/>
      </w:pPr>
      <w:r>
        <w:rPr>
          <w:b/>
          <w:sz w:val="22"/>
        </w:rPr>
        <w:t>Rule A1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A3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A4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A5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B: Sophistication</w:t>
      </w:r>
    </w:p>
    <w:p>
      <w:pPr>
        <w:spacing w:before="120"/>
      </w:pPr>
      <w:r>
        <w:rPr>
          <w:b/>
          <w:sz w:val="22"/>
        </w:rPr>
        <w:t>Rule B1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B3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B4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B5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B6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C: SII Disclosure Requirements</w:t>
      </w:r>
    </w:p>
    <w:p>
      <w:pPr>
        <w:spacing w:before="120"/>
      </w:pPr>
      <w:r>
        <w:rPr>
          <w:b/>
          <w:sz w:val="22"/>
        </w:rPr>
        <w:t>Rule C1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C3</w:t>
      </w:r>
      <w:r>
        <w:t xml:space="preserve">   </w:t>
      </w:r>
      <w:r>
        <w:rPr>
          <w:b/>
          <w:color w:val="CC0000"/>
        </w:rPr>
        <w:t>[Absent]</w:t>
      </w:r>
    </w:p>
    <w:p>
      <w:pPr>
        <w:spacing w:before="120"/>
      </w:pPr>
      <w:r>
        <w:rPr>
          <w:b/>
          <w:sz w:val="22"/>
        </w:rPr>
        <w:t>Rule C4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D: Pathfinder SII Requirements</w:t>
      </w:r>
    </w:p>
    <w:p>
      <w:pPr>
        <w:spacing w:before="120"/>
      </w:pPr>
      <w:r>
        <w:rPr>
          <w:b/>
          <w:sz w:val="22"/>
        </w:rPr>
        <w:t>Rule D1a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D1b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E: Aggregate SII Investment Benchmark</w:t>
      </w:r>
    </w:p>
    <w:p>
      <w:pPr>
        <w:spacing w:before="120"/>
      </w:pPr>
      <w:r>
        <w:rPr>
          <w:b/>
          <w:sz w:val="22"/>
        </w:rPr>
        <w:t>Rule E1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E2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F: Convertible Securities</w:t>
      </w:r>
    </w:p>
    <w:p>
      <w:pPr>
        <w:spacing w:before="120"/>
      </w:pPr>
      <w:r>
        <w:rPr>
          <w:b/>
          <w:sz w:val="22"/>
        </w:rPr>
        <w:t>Rule F1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F2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G: Lock-Up Obligations</w:t>
      </w:r>
    </w:p>
    <w:p>
      <w:pPr>
        <w:spacing w:before="120"/>
      </w:pPr>
      <w:r>
        <w:rPr>
          <w:b/>
          <w:sz w:val="22"/>
        </w:rPr>
        <w:t>Rule G1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H: SII Placees</w:t>
      </w:r>
    </w:p>
    <w:p>
      <w:pPr>
        <w:spacing w:before="120"/>
      </w:pPr>
      <w:r>
        <w:rPr>
          <w:b/>
          <w:sz w:val="22"/>
        </w:rPr>
        <w:t>Rule H1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H2a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H2b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H2c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H3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I: Secondary / Dual Listings</w:t>
      </w:r>
    </w:p>
    <w:p>
      <w:pPr>
        <w:spacing w:before="120"/>
      </w:pPr>
      <w:r>
        <w:rPr>
          <w:b/>
          <w:sz w:val="22"/>
        </w:rPr>
        <w:t>Rule I1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1"/>
      </w:pPr>
      <w:r>
        <w:t>Reasoning Flags</w:t>
      </w:r>
    </w:p>
    <w:p>
      <w:r>
        <w:rPr>
          <w:b/>
          <w:color w:val="E67E00"/>
        </w:rPr>
        <w:t>[High]</w:t>
      </w:r>
    </w:p>
    <w:p>
      <w:r>
        <w:rPr>
          <w:b/>
          <w:color w:val="E67E00"/>
        </w:rPr>
        <w:t>[High]</w:t>
      </w:r>
    </w:p>
    <w:p>
      <w:r>
        <w:rPr>
          <w:b/>
          <w:color w:val="1A5FA8"/>
        </w:rPr>
        <w:t>[Medium]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