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IPO Prospectus Analysis — Black Sesame International Holding Limited</w:t>
      </w:r>
    </w:p>
    <w:p>
      <w:pPr>
        <w:jc w:val="center"/>
      </w:pPr>
      <w:r>
        <w:rPr>
          <w:color w:val="606060"/>
        </w:rPr>
        <w:t>Analysis date: 2024-07-31</w:t>
      </w:r>
    </w:p>
    <w:p/>
    <w:p>
      <w:pPr>
        <w:pStyle w:val="Heading1"/>
      </w:pPr>
      <w:r>
        <w:t>Summary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t>Total rules evaluated</w:t>
            </w:r>
          </w:p>
        </w:tc>
        <w:tc>
          <w:tcPr>
            <w:tcW w:type="dxa" w:w="4320"/>
          </w:tcPr>
          <w:p>
            <w:r>
              <w:t>29</w:t>
            </w:r>
          </w:p>
        </w:tc>
      </w:tr>
      <w:tr>
        <w:tc>
          <w:tcPr>
            <w:tcW w:type="dxa" w:w="4320"/>
          </w:tcPr>
          <w:p>
            <w:r>
              <w:t>Rules clear</w:t>
            </w:r>
          </w:p>
        </w:tc>
        <w:tc>
          <w:tcPr>
            <w:tcW w:type="dxa" w:w="4320"/>
          </w:tcPr>
          <w:p>
            <w:r>
              <w:t>18</w:t>
            </w:r>
          </w:p>
        </w:tc>
      </w:tr>
      <w:tr>
        <w:tc>
          <w:tcPr>
            <w:tcW w:type="dxa" w:w="4320"/>
          </w:tcPr>
          <w:p>
            <w:r>
              <w:t>Rules with issues</w:t>
            </w:r>
          </w:p>
        </w:tc>
        <w:tc>
          <w:tcPr>
            <w:tcW w:type="dxa" w:w="4320"/>
          </w:tcPr>
          <w:p>
            <w:r>
              <w:t>11</w:t>
            </w:r>
          </w:p>
        </w:tc>
      </w:tr>
      <w:tr>
        <w:tc>
          <w:tcPr>
            <w:tcW w:type="dxa" w:w="4320"/>
          </w:tcPr>
          <w:p>
            <w:r>
              <w:t>Not Applicable</w:t>
            </w:r>
          </w:p>
        </w:tc>
        <w:tc>
          <w:tcPr>
            <w:tcW w:type="dxa" w:w="4320"/>
          </w:tcPr>
          <w:p>
            <w:r>
              <w:t>10</w:t>
            </w:r>
          </w:p>
        </w:tc>
      </w:tr>
      <w:tr>
        <w:tc>
          <w:tcPr>
            <w:tcW w:type="dxa" w:w="4320"/>
          </w:tcPr>
          <w:p>
            <w:r>
              <w:t>Reasoning flags</w:t>
            </w:r>
          </w:p>
        </w:tc>
        <w:tc>
          <w:tcPr>
            <w:tcW w:type="dxa" w:w="4320"/>
          </w:tcPr>
          <w:p>
            <w:r>
              <w:t>1</w:t>
            </w:r>
          </w:p>
        </w:tc>
      </w:tr>
      <w:tr>
        <w:tc>
          <w:tcPr>
            <w:tcW w:type="dxa" w:w="4320"/>
          </w:tcPr>
          <w:p>
            <w:r>
              <w:t xml:space="preserve">  Critical findings</w:t>
            </w:r>
          </w:p>
        </w:tc>
        <w:tc>
          <w:tcPr>
            <w:tcW w:type="dxa" w:w="4320"/>
          </w:tcPr>
          <w:p>
            <w:r>
              <w:t>9</w:t>
            </w:r>
          </w:p>
        </w:tc>
      </w:tr>
      <w:tr>
        <w:tc>
          <w:tcPr>
            <w:tcW w:type="dxa" w:w="4320"/>
          </w:tcPr>
          <w:p>
            <w:r>
              <w:t xml:space="preserve">  High findings</w:t>
            </w:r>
          </w:p>
        </w:tc>
        <w:tc>
          <w:tcPr>
            <w:tcW w:type="dxa" w:w="4320"/>
          </w:tcPr>
          <w:p>
            <w:r>
              <w:t>1</w:t>
            </w:r>
          </w:p>
        </w:tc>
      </w:tr>
      <w:tr>
        <w:tc>
          <w:tcPr>
            <w:tcW w:type="dxa" w:w="4320"/>
          </w:tcPr>
          <w:p>
            <w:r>
              <w:t xml:space="preserve">  Medium findings</w:t>
            </w:r>
          </w:p>
        </w:tc>
        <w:tc>
          <w:tcPr>
            <w:tcW w:type="dxa" w:w="4320"/>
          </w:tcPr>
          <w:p>
            <w:r>
              <w:t>2</w:t>
            </w:r>
          </w:p>
        </w:tc>
      </w:tr>
    </w:tbl>
    <w:p/>
    <w:p>
      <w:pPr>
        <w:pStyle w:val="Heading1"/>
      </w:pPr>
      <w:r>
        <w:t>Modules &amp; Rules</w:t>
      </w:r>
    </w:p>
    <w:p>
      <w:pPr>
        <w:pStyle w:val="Heading2"/>
      </w:pPr>
      <w:r>
        <w:t>Module 0: Pre-Conditions and Company Classification</w:t>
      </w:r>
    </w:p>
    <w:p>
      <w:pPr>
        <w:spacing w:before="120"/>
      </w:pPr>
      <w:r>
        <w:rPr>
          <w:b/>
          <w:sz w:val="22"/>
        </w:rPr>
        <w:t>Rule P1</w:t>
      </w:r>
      <w:r>
        <w:t xml:space="preserve"> — Specialist Technology Company Status</w:t>
      </w:r>
      <w:r>
        <w:t xml:space="preserve">   </w:t>
      </w:r>
      <w:r>
        <w:rPr>
          <w:b/>
          <w:color w:val="1A7A3C"/>
        </w:rPr>
        <w:t>[clear]</w:t>
      </w:r>
    </w:p>
    <w:p>
      <w:pPr>
        <w:spacing w:before="0" w:after="0"/>
        <w:ind w:left="360"/>
      </w:pPr>
      <w:r>
        <w:rPr>
          <w:b/>
          <w:sz w:val="20"/>
        </w:rPr>
        <w:t xml:space="preserve">Analysis: </w:t>
      </w:r>
      <w:r>
        <w:rPr>
          <w:sz w:val="20"/>
        </w:rPr>
        <w:t>The prospectus identifies the company as an 'automotive-grade computing SoC and SoC-based intelligent vehicle solution provider' (tier1/business, page 214). A table on page 232 further classifies its products under 'Advanced hardware and software' (acceptable sectors: 'Semiconductors (design)' and 'Electric and autonomous vehicles') and 'Next-generation information technology' (acceptable sector: 'Artificial intelligence (AI infrastructure, algorithm programming, AI solutions)'). These align with the acceptable industries and sectors listed in Guide Chapter 2.5, para 2.</w:t>
      </w:r>
    </w:p>
    <w:p>
      <w:pPr>
        <w:spacing w:before="0" w:after="0"/>
        <w:ind w:left="360"/>
      </w:pPr>
      <w:r>
        <w:rPr>
          <w:b/>
          <w:sz w:val="20"/>
        </w:rPr>
        <w:t xml:space="preserve">Source: </w:t>
      </w:r>
      <w:r>
        <w:rPr>
          <w:sz w:val="20"/>
        </w:rPr>
        <w:t>tier1/business</w:t>
      </w:r>
    </w:p>
    <w:p>
      <w:pPr>
        <w:spacing w:before="0" w:after="0"/>
        <w:ind w:left="360"/>
      </w:pPr>
      <w:r>
        <w:rPr>
          <w:b/>
          <w:sz w:val="20"/>
        </w:rPr>
        <w:t xml:space="preserve">Page: </w:t>
      </w:r>
      <w:r>
        <w:rPr>
          <w:sz w:val="20"/>
        </w:rPr>
        <w:t>232</w:t>
      </w:r>
    </w:p>
    <w:p>
      <w:pPr>
        <w:spacing w:before="0" w:after="0"/>
        <w:ind w:left="360"/>
      </w:pPr>
      <w:r>
        <w:rPr>
          <w:b/>
          <w:sz w:val="20"/>
        </w:rPr>
        <w:t xml:space="preserve">Anchor: </w:t>
      </w:r>
      <w:r>
        <w:rPr>
          <w:sz w:val="20"/>
        </w:rPr>
        <w:t>sllaf snoitulos gnigami tnegilletni dna snoitulos dna stcudorp gnivird</w:t>
      </w:r>
    </w:p>
    <w:p>
      <w:pPr>
        <w:spacing w:before="120"/>
      </w:pPr>
      <w:r>
        <w:rPr>
          <w:b/>
          <w:sz w:val="22"/>
        </w:rPr>
        <w:t>Rule P2</w:t>
      </w:r>
      <w:r>
        <w:t xml:space="preserve"> — Commercial or Pre-Commercial Classification</w:t>
      </w:r>
      <w:r>
        <w:t xml:space="preserve">   </w:t>
      </w:r>
      <w:r>
        <w:rPr>
          <w:b/>
          <w:color w:val="1A7A3C"/>
        </w:rPr>
        <w:t>[clear]</w:t>
      </w:r>
    </w:p>
    <w:p>
      <w:pPr>
        <w:spacing w:before="0" w:after="0"/>
        <w:ind w:left="360"/>
      </w:pPr>
      <w:r>
        <w:rPr>
          <w:b/>
          <w:sz w:val="20"/>
        </w:rPr>
        <w:t xml:space="preserve">Analysis: </w:t>
      </w:r>
      <w:r>
        <w:rPr>
          <w:sz w:val="20"/>
        </w:rPr>
        <w:t>The prospectus explicitly states the company satisfies the requirements for a Commercial Company (tier1/information_about_this_prospectus_and_the_global_offering, page 125). The Financial Information section (tier1/financial_information, page 366) discloses audited revenue of RMB312.4 million for the year ended December 31, 2023. This figure exceeds the HK$250 million threshold (PARAM_COMM_REV_MIN), confirming its Commercial Company status per MB Rule 18C.03(4).</w:t>
      </w:r>
    </w:p>
    <w:p>
      <w:pPr>
        <w:spacing w:before="0" w:after="0"/>
        <w:ind w:left="360"/>
      </w:pPr>
      <w:r>
        <w:rPr>
          <w:b/>
          <w:sz w:val="20"/>
        </w:rPr>
        <w:t xml:space="preserve">Source: </w:t>
      </w:r>
      <w:r>
        <w:rPr>
          <w:sz w:val="20"/>
        </w:rPr>
        <w:t>tier1/information_about_this_prospectus_and_the_global_offering</w:t>
      </w:r>
    </w:p>
    <w:p>
      <w:pPr>
        <w:spacing w:before="0" w:after="0"/>
        <w:ind w:left="360"/>
      </w:pPr>
      <w:r>
        <w:rPr>
          <w:b/>
          <w:sz w:val="20"/>
        </w:rPr>
        <w:t xml:space="preserve">Page: </w:t>
      </w:r>
      <w:r>
        <w:rPr>
          <w:sz w:val="20"/>
        </w:rPr>
        <w:t>125</w:t>
      </w:r>
    </w:p>
    <w:p>
      <w:pPr>
        <w:spacing w:before="0" w:after="0"/>
        <w:ind w:left="360"/>
      </w:pPr>
      <w:r>
        <w:rPr>
          <w:b/>
          <w:sz w:val="20"/>
        </w:rPr>
        <w:t xml:space="preserve">Anchor: </w:t>
      </w:r>
      <w:r>
        <w:rPr>
          <w:sz w:val="20"/>
        </w:rPr>
        <w:t>Rule 18C.03 of the Listing Rules as a Commercial Company</w:t>
      </w:r>
    </w:p>
    <w:p>
      <w:pPr>
        <w:spacing w:before="120"/>
      </w:pPr>
      <w:r>
        <w:rPr>
          <w:b/>
          <w:sz w:val="22"/>
        </w:rPr>
        <w:t>Rule P3</w:t>
      </w:r>
      <w:r>
        <w:t xml:space="preserve"> — Market Capitalisation Tier</w:t>
      </w:r>
      <w:r>
        <w:t xml:space="preserve">   </w:t>
      </w:r>
      <w:r>
        <w:rPr>
          <w:b/>
          <w:color w:val="1A7A3C"/>
        </w:rPr>
        <w:t>[clear]</w:t>
      </w:r>
    </w:p>
    <w:p>
      <w:pPr>
        <w:spacing w:before="0" w:after="0"/>
        <w:ind w:left="360"/>
      </w:pPr>
      <w:r>
        <w:rPr>
          <w:b/>
          <w:sz w:val="20"/>
        </w:rPr>
        <w:t xml:space="preserve">Analysis: </w:t>
      </w:r>
      <w:r>
        <w:rPr>
          <w:sz w:val="20"/>
        </w:rPr>
        <w:t>The prospectus discloses an expected market capitalisation. Tier2/pre_ipo_investment, page 195, states an assumption that the 'expected market capitalization at the time of Listing will exceed HK$15 billion'. This places the company in the 'HK$15-30bn' tier for the purpose of determining the aggregate SII threshold under para 26(ii) of the Guide. The minimum market cap for a Commercial Company (PARAM_MKTCAP_COMM_MIN of HK$4bn) is met.</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195</w:t>
      </w:r>
    </w:p>
    <w:p>
      <w:pPr>
        <w:spacing w:before="0" w:after="0"/>
        <w:ind w:left="360"/>
      </w:pPr>
      <w:r>
        <w:rPr>
          <w:b/>
          <w:sz w:val="20"/>
        </w:rPr>
        <w:t xml:space="preserve">Anchor: </w:t>
      </w:r>
      <w:r>
        <w:rPr>
          <w:sz w:val="20"/>
        </w:rPr>
        <w:t>our expected market capitalization at the time of Listing</w:t>
      </w:r>
    </w:p>
    <w:p/>
    <w:p>
      <w:pPr>
        <w:pStyle w:val="Heading2"/>
      </w:pPr>
      <w:r>
        <w:t>Module A: Independence of Sophisticated Investors (Paras 17–19)</w:t>
      </w:r>
    </w:p>
    <w:p>
      <w:pPr>
        <w:spacing w:before="120"/>
      </w:pPr>
      <w:r>
        <w:rPr>
          <w:b/>
          <w:sz w:val="22"/>
        </w:rPr>
        <w:t>Rule A1</w:t>
      </w:r>
      <w:r>
        <w:t xml:space="preserve"> — Date of Independence Assessment</w:t>
      </w:r>
      <w:r>
        <w:t xml:space="preserve">   </w:t>
      </w:r>
      <w:r>
        <w:rPr>
          <w:b/>
          <w:color w:val="E67E00"/>
        </w:rPr>
        <w:t>[has_issues]</w:t>
      </w:r>
    </w:p>
    <w:p>
      <w:pPr>
        <w:spacing w:before="0" w:after="0"/>
        <w:ind w:left="360"/>
      </w:pPr>
      <w:r>
        <w:rPr>
          <w:b/>
          <w:sz w:val="20"/>
        </w:rPr>
        <w:t xml:space="preserve">Analysis: </w:t>
      </w:r>
      <w:r>
        <w:rPr>
          <w:sz w:val="20"/>
        </w:rPr>
        <w:t>The prospectus makes a generic statement about SII independence but fails to disclose the specific definitive agreement date for each SII, as required by para 17 of the Guide. This prevents verification of the date as at which independence was assessed.</w:t>
      </w:r>
    </w:p>
    <w:p>
      <w:pPr>
        <w:ind w:left="360"/>
      </w:pPr>
      <w:r>
        <w:rPr>
          <w:b/>
          <w:sz w:val="20"/>
        </w:rPr>
        <w:t>Finding 1: Disclosure [Critical / Absent]</w:t>
      </w:r>
    </w:p>
    <w:p>
      <w:pPr>
        <w:spacing w:before="0" w:after="0"/>
        <w:ind w:left="360"/>
      </w:pPr>
      <w:r>
        <w:rPr>
          <w:b/>
          <w:sz w:val="20"/>
        </w:rPr>
        <w:t xml:space="preserve">Explanation: </w:t>
      </w:r>
      <w:r>
        <w:rPr>
          <w:sz w:val="20"/>
        </w:rPr>
        <w:t>Per para 17 of the Guide, independence is determined as at the date of signing of the definitive agreement. The prospectus does not disclose the specific definitive agreement date for each individual Sophisticated Independent Investor (SII). Footnote (1) on page 191 of tier2/pre_ipo_investment provides a generic formula for the reference date but does not state the anchor definitive agreement dates themselves, making it impossible to verify the assessment date.</w:t>
      </w:r>
    </w:p>
    <w:p>
      <w:pPr>
        <w:spacing w:before="0" w:after="0"/>
        <w:ind w:left="360"/>
      </w:pPr>
      <w:r>
        <w:rPr>
          <w:b/>
          <w:sz w:val="20"/>
        </w:rPr>
        <w:t xml:space="preserve">Recommendation: </w:t>
      </w:r>
      <w:r>
        <w:rPr>
          <w:sz w:val="20"/>
        </w:rPr>
        <w:t>For each SII, disclose the specific calendar date of the signing of the definitive investment agreement to establish the anchor date for the independence assessment.</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191</w:t>
      </w:r>
    </w:p>
    <w:p>
      <w:pPr>
        <w:spacing w:before="0" w:after="0"/>
        <w:ind w:left="360"/>
      </w:pPr>
      <w:r>
        <w:rPr>
          <w:b/>
          <w:sz w:val="20"/>
        </w:rPr>
        <w:t xml:space="preserve">Anchor: </w:t>
      </w:r>
      <w:r>
        <w:rPr>
          <w:sz w:val="20"/>
        </w:rPr>
        <w:t>investor signed the relevant definitive agreement for their investment</w:t>
      </w:r>
    </w:p>
    <w:p>
      <w:pPr>
        <w:ind w:left="360"/>
      </w:pPr>
      <w:r>
        <w:rPr>
          <w:b/>
          <w:sz w:val="20"/>
        </w:rPr>
        <w:t>Finding 2: Language [Critical / Insufficient]</w:t>
      </w:r>
    </w:p>
    <w:p>
      <w:pPr>
        <w:spacing w:before="0" w:after="0"/>
        <w:ind w:left="360"/>
      </w:pPr>
      <w:r>
        <w:rPr>
          <w:b/>
          <w:sz w:val="20"/>
        </w:rPr>
        <w:t xml:space="preserve">Explanation: </w:t>
      </w:r>
      <w:r>
        <w:rPr>
          <w:sz w:val="20"/>
        </w:rPr>
        <w:t>Per para 17 of the Guide, independence must be stated per SII. The prospectus makes a single generic statement on page 186 of tier2/pre_ipo_investment: 'each of our Sophisticated Independent Investors is independent from and not connected with...'. This does not satisfy the requirement for a specific confirmation of independence for each named SII as at the relevant date and up to listing.</w:t>
      </w:r>
    </w:p>
    <w:p>
      <w:pPr>
        <w:spacing w:before="0" w:after="0"/>
        <w:ind w:left="360"/>
      </w:pPr>
      <w:r>
        <w:rPr>
          <w:b/>
          <w:sz w:val="20"/>
        </w:rPr>
        <w:t xml:space="preserve">Recommendation: </w:t>
      </w:r>
      <w:r>
        <w:rPr>
          <w:sz w:val="20"/>
        </w:rPr>
        <w:t>For each named SII, provide a distinct statement confirming its independence as at the definitive agreement date and that such independence has been maintained up to listing.</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186</w:t>
      </w:r>
    </w:p>
    <w:p>
      <w:pPr>
        <w:spacing w:before="0" w:after="0"/>
        <w:ind w:left="360"/>
      </w:pPr>
      <w:r>
        <w:rPr>
          <w:b/>
          <w:sz w:val="20"/>
        </w:rPr>
        <w:t xml:space="preserve">Anchor: </w:t>
      </w:r>
      <w:r>
        <w:rPr>
          <w:sz w:val="20"/>
        </w:rPr>
        <w:t>each of our Sophisticated Independent Investors is independent from</w:t>
      </w:r>
    </w:p>
    <w:p>
      <w:pPr>
        <w:spacing w:before="120"/>
      </w:pPr>
      <w:r>
        <w:rPr>
          <w:b/>
          <w:sz w:val="22"/>
        </w:rPr>
        <w:t>Rule A2</w:t>
      </w:r>
      <w:r>
        <w:t xml:space="preserve"> — Core Connected Persons Excluded</w:t>
      </w:r>
      <w:r>
        <w:t xml:space="preserve">   </w:t>
      </w:r>
      <w:r>
        <w:rPr>
          <w:b/>
          <w:color w:val="E67E00"/>
        </w:rPr>
        <w:t>[has_issues]</w:t>
      </w:r>
    </w:p>
    <w:p>
      <w:pPr>
        <w:spacing w:before="0" w:after="0"/>
        <w:ind w:left="360"/>
      </w:pPr>
      <w:r>
        <w:rPr>
          <w:b/>
          <w:sz w:val="20"/>
        </w:rPr>
        <w:t xml:space="preserve">Analysis: </w:t>
      </w:r>
      <w:r>
        <w:rPr>
          <w:sz w:val="20"/>
        </w:rPr>
        <w:t>The prospectus asserts that SIIs are not core connected persons. However, it discloses that a non-executive Director, Dr. YANG Lei, was a partner at Northern Light Venture Capital (the manager of a Pathfinder SII) until October 2021. While he is not a current director of the SII, this past relationship with a director of the applicant is not sufficiently addressed in the context of independence.</w:t>
      </w:r>
    </w:p>
    <w:p>
      <w:pPr>
        <w:ind w:left="360"/>
      </w:pPr>
      <w:r>
        <w:rPr>
          <w:b/>
          <w:sz w:val="20"/>
        </w:rPr>
        <w:t>Finding 1: Disclosure [Critical / Insufficient]</w:t>
      </w:r>
    </w:p>
    <w:p>
      <w:pPr>
        <w:spacing w:before="0" w:after="0"/>
        <w:ind w:left="360"/>
      </w:pPr>
      <w:r>
        <w:rPr>
          <w:b/>
          <w:sz w:val="20"/>
        </w:rPr>
        <w:t xml:space="preserve">Explanation: </w:t>
      </w:r>
      <w:r>
        <w:rPr>
          <w:sz w:val="20"/>
        </w:rPr>
        <w:t>Per para 18(i) of the Guide, core connected persons are excluded from being SIIs. Tier2/pre_ipo_investment, page 186, discloses that Dr. YANG Lei, a non-executive Director of the Company, was a partner at Northern Light Venture Capital (the manager of the Northern Light SIIs) until October 2021. While this relationship ended prior to the investment period under review, the prospectus does not sufficiently explain why this past, senior-level relationship between a Director and a Pathfinder SII's manager does not affect the SII's independence from the Company's core connected persons.</w:t>
      </w:r>
    </w:p>
    <w:p>
      <w:pPr>
        <w:spacing w:before="0" w:after="0"/>
        <w:ind w:left="360"/>
      </w:pPr>
      <w:r>
        <w:rPr>
          <w:b/>
          <w:sz w:val="20"/>
        </w:rPr>
        <w:t xml:space="preserve">Recommendation: </w:t>
      </w:r>
      <w:r>
        <w:rPr>
          <w:sz w:val="20"/>
        </w:rPr>
        <w:t>Provide a detailed explanation of why the past partnership of a Director at the SII's manager does not compromise the SII's independence from the Company's core connected persons, addressing factors such as timing and Dr. Yang's lack of involvement in the investment decision.</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186</w:t>
      </w:r>
    </w:p>
    <w:p>
      <w:pPr>
        <w:spacing w:before="0" w:after="0"/>
        <w:ind w:left="360"/>
      </w:pPr>
      <w:r>
        <w:rPr>
          <w:b/>
          <w:sz w:val="20"/>
        </w:rPr>
        <w:t xml:space="preserve">Anchor: </w:t>
      </w:r>
      <w:r>
        <w:rPr>
          <w:sz w:val="20"/>
        </w:rPr>
        <w:t>Dr. YANG Lei, our non-executive Director, was a partner</w:t>
      </w:r>
    </w:p>
    <w:p>
      <w:pPr>
        <w:spacing w:before="120"/>
      </w:pPr>
      <w:r>
        <w:rPr>
          <w:b/>
          <w:sz w:val="22"/>
        </w:rPr>
        <w:t>Rule A3</w:t>
      </w:r>
      <w:r>
        <w:t xml:space="preserve"> — Controlling Shareholders Excluded</w:t>
      </w:r>
      <w:r>
        <w:t xml:space="preserve">   </w:t>
      </w:r>
      <w:r>
        <w:rPr>
          <w:b/>
          <w:color w:val="1A7A3C"/>
        </w:rPr>
        <w:t>[clear]</w:t>
      </w:r>
    </w:p>
    <w:p>
      <w:pPr>
        <w:spacing w:before="0" w:after="0"/>
        <w:ind w:left="360"/>
      </w:pPr>
      <w:r>
        <w:rPr>
          <w:b/>
          <w:sz w:val="20"/>
        </w:rPr>
        <w:t xml:space="preserve">Analysis: </w:t>
      </w:r>
      <w:r>
        <w:rPr>
          <w:sz w:val="20"/>
        </w:rPr>
        <w:t>The prospectus states on page 330 of tier1/cap_table that upon listing, the Company will not have any controlling shareholders as defined under the Listing Rules, with Mr. Shan being the Single Largest Shareholder. The general independence statement on page 186 of tier2/pre_ipo_investment confirms that no SII is connected with any substantial shareholder. This satisfies the requirement of para 18(ii) of the Guide.</w:t>
      </w:r>
    </w:p>
    <w:p>
      <w:pPr>
        <w:spacing w:before="0" w:after="0"/>
        <w:ind w:left="360"/>
      </w:pPr>
      <w:r>
        <w:rPr>
          <w:b/>
          <w:sz w:val="20"/>
        </w:rPr>
        <w:t xml:space="preserve">Source: </w:t>
      </w:r>
      <w:r>
        <w:rPr>
          <w:sz w:val="20"/>
        </w:rPr>
        <w:t>tier1/cap_table</w:t>
      </w:r>
    </w:p>
    <w:p>
      <w:pPr>
        <w:spacing w:before="0" w:after="0"/>
        <w:ind w:left="360"/>
      </w:pPr>
      <w:r>
        <w:rPr>
          <w:b/>
          <w:sz w:val="20"/>
        </w:rPr>
        <w:t xml:space="preserve">Page: </w:t>
      </w:r>
      <w:r>
        <w:rPr>
          <w:sz w:val="20"/>
        </w:rPr>
        <w:t>330</w:t>
      </w:r>
    </w:p>
    <w:p>
      <w:pPr>
        <w:spacing w:before="0" w:after="0"/>
        <w:ind w:left="360"/>
      </w:pPr>
      <w:r>
        <w:rPr>
          <w:b/>
          <w:sz w:val="20"/>
        </w:rPr>
        <w:t xml:space="preserve">Anchor: </w:t>
      </w:r>
      <w:r>
        <w:rPr>
          <w:sz w:val="20"/>
        </w:rPr>
        <w:t>our Company will not have any controlling shareholders</w:t>
      </w:r>
    </w:p>
    <w:p>
      <w:pPr>
        <w:spacing w:before="120"/>
      </w:pPr>
      <w:r>
        <w:rPr>
          <w:b/>
          <w:sz w:val="22"/>
        </w:rPr>
        <w:t>Rule A4</w:t>
      </w:r>
      <w:r>
        <w:t xml:space="preserve"> — Founder and Close Associates Excluded</w:t>
      </w:r>
      <w:r>
        <w:t xml:space="preserve">   </w:t>
      </w:r>
      <w:r>
        <w:rPr>
          <w:b/>
          <w:color w:val="1A7A3C"/>
        </w:rPr>
        <w:t>[clear]</w:t>
      </w:r>
    </w:p>
    <w:p>
      <w:pPr>
        <w:spacing w:before="0" w:after="0"/>
        <w:ind w:left="360"/>
      </w:pPr>
      <w:r>
        <w:rPr>
          <w:b/>
          <w:sz w:val="20"/>
        </w:rPr>
        <w:t xml:space="preserve">Analysis: </w:t>
      </w:r>
      <w:r>
        <w:rPr>
          <w:sz w:val="20"/>
        </w:rPr>
        <w:t>The prospectus identifies Mr. Shan and Mr. Liu as founders. The general independence statement on page 186 of tier2/pre_ipo_investment confirms that SIIs are not connected with any Director, which includes the founders. A cross-reference of the SII list against the founders and their close associates reveals no overlaps, satisfying para 18(iii) of the Guide.</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186</w:t>
      </w:r>
    </w:p>
    <w:p>
      <w:pPr>
        <w:spacing w:before="0" w:after="0"/>
        <w:ind w:left="360"/>
      </w:pPr>
      <w:r>
        <w:rPr>
          <w:b/>
          <w:sz w:val="20"/>
        </w:rPr>
        <w:t xml:space="preserve">Anchor: </w:t>
      </w:r>
      <w:r>
        <w:rPr>
          <w:sz w:val="20"/>
        </w:rPr>
        <w:t>independent from and not connected with any Director, chief executive</w:t>
      </w:r>
    </w:p>
    <w:p>
      <w:pPr>
        <w:spacing w:before="120"/>
      </w:pPr>
      <w:r>
        <w:rPr>
          <w:b/>
          <w:sz w:val="22"/>
        </w:rPr>
        <w:t>Rule A5</w:t>
      </w:r>
      <w:r>
        <w:t xml:space="preserve"> — Acting-in-Concert and Prior Business Relationships</w:t>
      </w:r>
      <w:r>
        <w:t xml:space="preserve">   </w:t>
      </w:r>
      <w:r>
        <w:rPr>
          <w:b/>
          <w:color w:val="E67E00"/>
        </w:rPr>
        <w:t>[has_issues]</w:t>
      </w:r>
    </w:p>
    <w:p>
      <w:pPr>
        <w:spacing w:before="0" w:after="0"/>
        <w:ind w:left="360"/>
      </w:pPr>
      <w:r>
        <w:rPr>
          <w:b/>
          <w:sz w:val="20"/>
        </w:rPr>
        <w:t xml:space="preserve">Analysis: </w:t>
      </w:r>
      <w:r>
        <w:rPr>
          <w:sz w:val="20"/>
        </w:rPr>
        <w:t>The prospectus discloses prior business relationships with Geely SII and SAIC Motor SII, stating the company became acquainted with them through business cooperation discussions. However, it fails to provide the detailed mitigating factors required by para 19 of the Guide, such as the timing, operational involvement, and commercial terms of these relationships.</w:t>
      </w:r>
    </w:p>
    <w:p>
      <w:pPr>
        <w:ind w:left="360"/>
      </w:pPr>
      <w:r>
        <w:rPr>
          <w:b/>
          <w:sz w:val="20"/>
        </w:rPr>
        <w:t>Finding 1: Disclosure [High / Insufficient]</w:t>
      </w:r>
    </w:p>
    <w:p>
      <w:pPr>
        <w:spacing w:before="0" w:after="0"/>
        <w:ind w:left="360"/>
      </w:pPr>
      <w:r>
        <w:rPr>
          <w:b/>
          <w:sz w:val="20"/>
        </w:rPr>
        <w:t xml:space="preserve">Explanation: </w:t>
      </w:r>
      <w:r>
        <w:rPr>
          <w:sz w:val="20"/>
        </w:rPr>
        <w:t>Per para 19 of the Guide, prior business relationships with an SII require disclosure of mitigating factors. Tier2/pre_ipo_investment, page 191, states the Group became acquainted with Geely SII and SAIC Motor SII 'through discussions on business cooperations' and notes strategic cooperation agreements. However, it does not provide the required details on (i) timing and duration, (ii) nature of operational involvement, and (iii) commercial terms of these relationships to allow an assessment of their impact on independence.</w:t>
      </w:r>
    </w:p>
    <w:p>
      <w:pPr>
        <w:spacing w:before="0" w:after="0"/>
        <w:ind w:left="360"/>
      </w:pPr>
      <w:r>
        <w:rPr>
          <w:b/>
          <w:sz w:val="20"/>
        </w:rPr>
        <w:t xml:space="preserve">Recommendation: </w:t>
      </w:r>
      <w:r>
        <w:rPr>
          <w:sz w:val="20"/>
        </w:rPr>
        <w:t>For both Geely SII and SAIC Motor SII, disclose the specific timing, duration, operational nature, and commercial terms of the business relationships to substantiate the claim of independence.</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191</w:t>
      </w:r>
    </w:p>
    <w:p>
      <w:pPr>
        <w:spacing w:before="0" w:after="0"/>
        <w:ind w:left="360"/>
      </w:pPr>
      <w:r>
        <w:rPr>
          <w:b/>
          <w:sz w:val="20"/>
        </w:rPr>
        <w:t xml:space="preserve">Anchor: </w:t>
      </w:r>
      <w:r>
        <w:rPr>
          <w:sz w:val="20"/>
        </w:rPr>
        <w:t>acquainted with Geely SII through discussions on business cooperations</w:t>
      </w:r>
    </w:p>
    <w:p>
      <w:pPr>
        <w:spacing w:before="120"/>
      </w:pPr>
      <w:r>
        <w:rPr>
          <w:b/>
          <w:sz w:val="22"/>
        </w:rPr>
        <w:t>Rule A6</w:t>
      </w:r>
      <w:r>
        <w:t xml:space="preserve"> — Board Representation by SII</w:t>
      </w:r>
      <w:r>
        <w:t xml:space="preserve">   </w:t>
      </w:r>
      <w:r>
        <w:rPr>
          <w:b/>
          <w:color w:val="606060"/>
        </w:rPr>
        <w:t>[not_applicable]</w:t>
      </w:r>
    </w:p>
    <w:p>
      <w:pPr>
        <w:spacing w:before="0" w:after="0"/>
        <w:ind w:left="360"/>
      </w:pPr>
      <w:r>
        <w:rPr>
          <w:b/>
          <w:sz w:val="20"/>
        </w:rPr>
        <w:t xml:space="preserve">Analysis: </w:t>
      </w:r>
      <w:r>
        <w:rPr>
          <w:sz w:val="20"/>
        </w:rPr>
        <w:t>This rule is not triggered. A review of the 'Directors and Senior Management' section (tier1/directors_mgmt) and the SII disclosure (tier2/pre_ipo_investment) does not indicate that any SII currently holds or is entitled to nominate a board representative. The past relationship of Director Dr. YANG Lei with Northern Light's manager does not constitute current board representation by the SII.</w:t>
      </w:r>
    </w:p>
    <w:p>
      <w:pPr>
        <w:spacing w:before="0" w:after="0"/>
        <w:ind w:left="360"/>
      </w:pPr>
      <w:r>
        <w:rPr>
          <w:b/>
          <w:sz w:val="20"/>
        </w:rPr>
        <w:t xml:space="preserve">Source: </w:t>
      </w:r>
      <w:r>
        <w:rPr>
          <w:sz w:val="20"/>
        </w:rPr>
        <w:t>tier1/directors_mgmt</w:t>
      </w:r>
    </w:p>
    <w:p>
      <w:pPr>
        <w:spacing w:before="0" w:after="0"/>
        <w:ind w:left="360"/>
      </w:pPr>
      <w:r>
        <w:rPr>
          <w:b/>
          <w:sz w:val="20"/>
        </w:rPr>
        <w:t xml:space="preserve">Page: </w:t>
      </w:r>
      <w:r>
        <w:rPr>
          <w:sz w:val="20"/>
        </w:rPr>
        <w:t>312</w:t>
      </w:r>
    </w:p>
    <w:p>
      <w:pPr>
        <w:spacing w:before="0" w:after="0"/>
        <w:ind w:left="360"/>
      </w:pPr>
      <w:r>
        <w:rPr>
          <w:b/>
          <w:sz w:val="20"/>
        </w:rPr>
        <w:t xml:space="preserve">Anchor: </w:t>
      </w:r>
      <w:r>
        <w:rPr>
          <w:sz w:val="20"/>
        </w:rPr>
        <w:t>The following table sets forth information regarding our Directors</w:t>
      </w:r>
    </w:p>
    <w:p/>
    <w:p>
      <w:pPr>
        <w:pStyle w:val="Heading2"/>
      </w:pPr>
      <w:r>
        <w:t>Module B: Sophistication of Investors (Paras 20–24)</w:t>
      </w:r>
    </w:p>
    <w:p>
      <w:pPr>
        <w:spacing w:before="120"/>
      </w:pPr>
      <w:r>
        <w:rPr>
          <w:b/>
          <w:sz w:val="22"/>
        </w:rPr>
        <w:t>Rule B1</w:t>
      </w:r>
      <w:r>
        <w:t xml:space="preserve"> — Sophistication Requirement Generally</w:t>
      </w:r>
      <w:r>
        <w:t xml:space="preserve">   </w:t>
      </w:r>
      <w:r>
        <w:rPr>
          <w:b/>
          <w:color w:val="1A7A3C"/>
        </w:rPr>
        <w:t>[clear]</w:t>
      </w:r>
    </w:p>
    <w:p>
      <w:pPr>
        <w:spacing w:before="0" w:after="0"/>
        <w:ind w:left="360"/>
      </w:pPr>
      <w:r>
        <w:rPr>
          <w:b/>
          <w:sz w:val="20"/>
        </w:rPr>
        <w:t xml:space="preserve">Analysis: </w:t>
      </w:r>
      <w:r>
        <w:rPr>
          <w:sz w:val="20"/>
        </w:rPr>
        <w:t>The prospectus provides a distinct sophistication analysis for each of the nine SIIs in tier2/pre_ipo_investment, pages 186-191. Each analysis identifies the investor, its manager/parent, and the basis under para 21 of the Guide upon which sophistication is claimed (e.g., AUM, portfolio size, or key market participant status).</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186</w:t>
      </w:r>
    </w:p>
    <w:p>
      <w:pPr>
        <w:spacing w:before="0" w:after="0"/>
        <w:ind w:left="360"/>
      </w:pPr>
      <w:r>
        <w:rPr>
          <w:b/>
          <w:sz w:val="20"/>
        </w:rPr>
        <w:t xml:space="preserve">Anchor: </w:t>
      </w:r>
      <w:r>
        <w:rPr>
          <w:sz w:val="20"/>
        </w:rPr>
        <w:t>Information relating to our key Pre-IPO Investors</w:t>
      </w:r>
    </w:p>
    <w:p>
      <w:pPr>
        <w:spacing w:before="120"/>
      </w:pPr>
      <w:r>
        <w:rPr>
          <w:b/>
          <w:sz w:val="22"/>
        </w:rPr>
        <w:t>Rule B2</w:t>
      </w:r>
      <w:r>
        <w:t xml:space="preserve"> — Asset Management / Fund Threshold</w:t>
      </w:r>
      <w:r>
        <w:t xml:space="preserve">   </w:t>
      </w:r>
      <w:r>
        <w:rPr>
          <w:b/>
          <w:color w:val="E67E00"/>
        </w:rPr>
        <w:t>[has_issues]</w:t>
      </w:r>
    </w:p>
    <w:p>
      <w:pPr>
        <w:spacing w:before="0" w:after="0"/>
        <w:ind w:left="360"/>
      </w:pPr>
      <w:r>
        <w:rPr>
          <w:b/>
          <w:sz w:val="20"/>
        </w:rPr>
        <w:t xml:space="preserve">Analysis: </w:t>
      </w:r>
      <w:r>
        <w:rPr>
          <w:sz w:val="20"/>
        </w:rPr>
        <w:t>The sophistication claims for Northern Light, BOCGI, and Future Industry Fund are based on AUM exceeding HK$15bn. However, all disclosed figures are qualified with 'approximately', which introduces ambiguity. SummitView's AUM is below the threshold, indicating it relies on a different basis.</w:t>
      </w:r>
    </w:p>
    <w:p>
      <w:pPr>
        <w:ind w:left="360"/>
      </w:pPr>
      <w:r>
        <w:rPr>
          <w:b/>
          <w:sz w:val="20"/>
        </w:rPr>
        <w:t>Finding 1: Language [Critical / Insufficient]</w:t>
      </w:r>
    </w:p>
    <w:p>
      <w:pPr>
        <w:spacing w:before="0" w:after="0"/>
        <w:ind w:left="360"/>
      </w:pPr>
      <w:r>
        <w:rPr>
          <w:b/>
          <w:sz w:val="20"/>
        </w:rPr>
        <w:t xml:space="preserve">Explanation: </w:t>
      </w:r>
      <w:r>
        <w:rPr>
          <w:sz w:val="20"/>
        </w:rPr>
        <w:t>Per para 21(i) of the Guide, the AUM must be at least HK$15bn. For all SIIs relying on this basis (Northern Light, BOCGI, Future Industry Fund), the disclosed AUM figures in tier2/pre_ipo_investment (pages 186, 190) are qualified with the word 'approximately' (e.g., 'approximately HK$17.69 billion'). This hedging language obscures whether the threshold is precisely met and is inconsistent with the requirement for specific disclosure.</w:t>
      </w:r>
    </w:p>
    <w:p>
      <w:pPr>
        <w:spacing w:before="0" w:after="0"/>
        <w:ind w:left="360"/>
      </w:pPr>
      <w:r>
        <w:rPr>
          <w:b/>
          <w:sz w:val="20"/>
        </w:rPr>
        <w:t xml:space="preserve">Recommendation: </w:t>
      </w:r>
      <w:r>
        <w:rPr>
          <w:sz w:val="20"/>
        </w:rPr>
        <w:t>Remove the word 'approximately' and disclose the precise AUM figures for each relevant SII as of the specified reference dates to confirm the threshold is met.</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186</w:t>
      </w:r>
    </w:p>
    <w:p>
      <w:pPr>
        <w:spacing w:before="0" w:after="0"/>
        <w:ind w:left="360"/>
      </w:pPr>
      <w:r>
        <w:rPr>
          <w:b/>
          <w:sz w:val="20"/>
        </w:rPr>
        <w:t xml:space="preserve">Anchor: </w:t>
      </w:r>
      <w:r>
        <w:rPr>
          <w:sz w:val="20"/>
        </w:rPr>
        <w:t>was approximately HK$17.69 billion as of June 30, 2016</w:t>
      </w:r>
    </w:p>
    <w:p>
      <w:pPr>
        <w:spacing w:before="120"/>
      </w:pPr>
      <w:r>
        <w:rPr>
          <w:b/>
          <w:sz w:val="22"/>
        </w:rPr>
        <w:t>Rule B3</w:t>
      </w:r>
      <w:r>
        <w:t xml:space="preserve"> — Corporate Portfolio Threshold</w:t>
      </w:r>
      <w:r>
        <w:t xml:space="preserve">   </w:t>
      </w:r>
      <w:r>
        <w:rPr>
          <w:b/>
          <w:color w:val="E67E00"/>
        </w:rPr>
        <w:t>[has_issues]</w:t>
      </w:r>
    </w:p>
    <w:p>
      <w:pPr>
        <w:spacing w:before="0" w:after="0"/>
        <w:ind w:left="360"/>
      </w:pPr>
      <w:r>
        <w:rPr>
          <w:b/>
          <w:sz w:val="20"/>
        </w:rPr>
        <w:t xml:space="preserve">Analysis: </w:t>
      </w:r>
      <w:r>
        <w:rPr>
          <w:sz w:val="20"/>
        </w:rPr>
        <w:t>The sophistication claims for Xiaomi and Tencent are based on diverse investment portfolio size exceeding HK$15bn. The disclosed figures meet the threshold, but are qualified with 'approximately'. Furthermore, the disclosure does not explicitly confirm the exclusion of consolidated subsidiaries as required by para 22.</w:t>
      </w:r>
    </w:p>
    <w:p>
      <w:pPr>
        <w:ind w:left="360"/>
      </w:pPr>
      <w:r>
        <w:rPr>
          <w:b/>
          <w:sz w:val="20"/>
        </w:rPr>
        <w:t>Finding 1: Language [Critical / Insufficient]</w:t>
      </w:r>
    </w:p>
    <w:p>
      <w:pPr>
        <w:spacing w:before="0" w:after="0"/>
        <w:ind w:left="360"/>
      </w:pPr>
      <w:r>
        <w:rPr>
          <w:b/>
          <w:sz w:val="20"/>
        </w:rPr>
        <w:t xml:space="preserve">Explanation: </w:t>
      </w:r>
      <w:r>
        <w:rPr>
          <w:sz w:val="20"/>
        </w:rPr>
        <w:t>Per para 21(ii) of the Guide, the portfolio size must be at least HK$15bn. For Xiaomi and Tencent, the disclosed portfolio figures on page 189 of tier2/pre_ipo_investment are qualified with 'approximately' (e.g., 'approximately RMB74.5 billion'). This hedging language obscures whether the threshold is precisely met.</w:t>
      </w:r>
    </w:p>
    <w:p>
      <w:pPr>
        <w:spacing w:before="0" w:after="0"/>
        <w:ind w:left="360"/>
      </w:pPr>
      <w:r>
        <w:rPr>
          <w:b/>
          <w:sz w:val="20"/>
        </w:rPr>
        <w:t xml:space="preserve">Recommendation: </w:t>
      </w:r>
      <w:r>
        <w:rPr>
          <w:sz w:val="20"/>
        </w:rPr>
        <w:t>Remove 'approximately' and state the precise portfolio values for Xiaomi and Tencent as of the reference dates.</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189</w:t>
      </w:r>
    </w:p>
    <w:p>
      <w:pPr>
        <w:spacing w:before="0" w:after="0"/>
        <w:ind w:left="360"/>
      </w:pPr>
      <w:r>
        <w:rPr>
          <w:b/>
          <w:sz w:val="20"/>
        </w:rPr>
        <w:t xml:space="preserve">Anchor: </w:t>
      </w:r>
      <w:r>
        <w:rPr>
          <w:sz w:val="20"/>
        </w:rPr>
        <w:t>portfolio of approximately RMB74.5 billion as of June 30, 2021</w:t>
      </w:r>
    </w:p>
    <w:p>
      <w:pPr>
        <w:spacing w:before="120"/>
      </w:pPr>
      <w:r>
        <w:rPr>
          <w:b/>
          <w:sz w:val="22"/>
        </w:rPr>
        <w:t>Rule B4</w:t>
      </w:r>
      <w:r>
        <w:t xml:space="preserve"> — Specialist Technology Focus Threshold</w:t>
      </w:r>
      <w:r>
        <w:t xml:space="preserve">   </w:t>
      </w:r>
      <w:r>
        <w:rPr>
          <w:b/>
          <w:color w:val="1A7A3C"/>
        </w:rPr>
        <w:t>[clear]</w:t>
      </w:r>
    </w:p>
    <w:p>
      <w:pPr>
        <w:spacing w:before="0" w:after="0"/>
        <w:ind w:left="360"/>
      </w:pPr>
      <w:r>
        <w:rPr>
          <w:b/>
          <w:sz w:val="20"/>
        </w:rPr>
        <w:t xml:space="preserve">Analysis: </w:t>
      </w:r>
      <w:r>
        <w:rPr>
          <w:sz w:val="20"/>
        </w:rPr>
        <w:t>This rule is triggered for Oceanpine SIIs and SummitView SIIs. For Oceanpine (tier2/pre_ipo_investment, page 187), the AUM of HK$5.9bn as of Sep 25, 2020 exceeds the HK$5bn threshold (PARAM_B4_TECH_MIN), and is described as 'derived primarily from... Specialist Technology Companies'. For SummitView (page 189), the AUM of HK$13.2bn as of Dec 31, 2020 includes 'more than HK$5 billion in Specialist Technology Companies', which also meets the threshold. The disclosures appear sufficient.</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187</w:t>
      </w:r>
    </w:p>
    <w:p>
      <w:pPr>
        <w:spacing w:before="0" w:after="0"/>
        <w:ind w:left="360"/>
      </w:pPr>
      <w:r>
        <w:rPr>
          <w:b/>
          <w:sz w:val="20"/>
        </w:rPr>
        <w:t xml:space="preserve">Anchor: </w:t>
      </w:r>
      <w:r>
        <w:rPr>
          <w:sz w:val="20"/>
        </w:rPr>
        <w:t>AUM of approximately HK$5.9 billion as of September 25, 2020</w:t>
      </w:r>
    </w:p>
    <w:p>
      <w:pPr>
        <w:spacing w:before="120"/>
      </w:pPr>
      <w:r>
        <w:rPr>
          <w:b/>
          <w:sz w:val="22"/>
        </w:rPr>
        <w:t>Rule B5</w:t>
      </w:r>
      <w:r>
        <w:t xml:space="preserve"> — Key Market Participant</w:t>
      </w:r>
      <w:r>
        <w:t xml:space="preserve">   </w:t>
      </w:r>
      <w:r>
        <w:rPr>
          <w:b/>
          <w:color w:val="1A7A3C"/>
        </w:rPr>
        <w:t>[clear]</w:t>
      </w:r>
    </w:p>
    <w:p>
      <w:pPr>
        <w:spacing w:before="0" w:after="0"/>
        <w:ind w:left="360"/>
      </w:pPr>
      <w:r>
        <w:rPr>
          <w:b/>
          <w:sz w:val="20"/>
        </w:rPr>
        <w:t xml:space="preserve">Analysis: </w:t>
      </w:r>
      <w:r>
        <w:rPr>
          <w:sz w:val="20"/>
        </w:rPr>
        <w:t>This rule is triggered for Geely SII and SAIC Motor SII. The prospectus (tier2/pre_ipo_investment, page 191) identifies both as 'a key participant in the downstream automotive industry in terms of sales volume' and cites Frost &amp; Sullivan as the source for this independent operational data, satisfying the requirements of para 21(iv) of the Guide.</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191</w:t>
      </w:r>
    </w:p>
    <w:p>
      <w:pPr>
        <w:spacing w:before="0" w:after="0"/>
        <w:ind w:left="360"/>
      </w:pPr>
      <w:r>
        <w:rPr>
          <w:b/>
          <w:sz w:val="20"/>
        </w:rPr>
        <w:t xml:space="preserve">Anchor: </w:t>
      </w:r>
      <w:r>
        <w:rPr>
          <w:sz w:val="20"/>
        </w:rPr>
        <w:t>is a key participant in the downstream automotive industry</w:t>
      </w:r>
    </w:p>
    <w:p>
      <w:pPr>
        <w:spacing w:before="120"/>
      </w:pPr>
      <w:r>
        <w:rPr>
          <w:b/>
          <w:sz w:val="22"/>
        </w:rPr>
        <w:t>Rule B6</w:t>
      </w:r>
      <w:r>
        <w:t xml:space="preserve"> — Investment Portfolio Definition (Consolidated Subsidiaries)</w:t>
      </w:r>
      <w:r>
        <w:t xml:space="preserve">   </w:t>
      </w:r>
      <w:r>
        <w:rPr>
          <w:b/>
          <w:color w:val="E67E00"/>
        </w:rPr>
        <w:t>[has_issues]</w:t>
      </w:r>
    </w:p>
    <w:p>
      <w:pPr>
        <w:spacing w:before="0" w:after="0"/>
        <w:ind w:left="360"/>
      </w:pPr>
      <w:r>
        <w:rPr>
          <w:b/>
          <w:sz w:val="20"/>
        </w:rPr>
        <w:t xml:space="preserve">Analysis: </w:t>
      </w:r>
      <w:r>
        <w:rPr>
          <w:sz w:val="20"/>
        </w:rPr>
        <w:t>For Xiaomi and Tencent, which rely on the diverse investment portfolio basis (para 21(ii)), the prospectus does not explicitly state that consolidated subsidiaries have been excluded from the portfolio calculation as required by para 22 of the Guide.</w:t>
      </w:r>
    </w:p>
    <w:p>
      <w:pPr>
        <w:ind w:left="360"/>
      </w:pPr>
      <w:r>
        <w:rPr>
          <w:b/>
          <w:sz w:val="20"/>
        </w:rPr>
        <w:t>Finding 1: Disclosure [Medium / Absent]</w:t>
      </w:r>
    </w:p>
    <w:p>
      <w:pPr>
        <w:spacing w:before="0" w:after="0"/>
        <w:ind w:left="360"/>
      </w:pPr>
      <w:r>
        <w:rPr>
          <w:b/>
          <w:sz w:val="20"/>
        </w:rPr>
        <w:t xml:space="preserve">Explanation: </w:t>
      </w:r>
      <w:r>
        <w:rPr>
          <w:sz w:val="20"/>
        </w:rPr>
        <w:t>Per para 22 of the Guide, 'investment portfolio' excludes consolidated subsidiaries. The disclosures for Xiaomi SII and Tencent SII on page 189 of tier2/pre_ipo_investment, which rely on the portfolio basis, do not contain an express statement confirming that consolidated subsidiaries were excluded from the portfolio value calculation.</w:t>
      </w:r>
    </w:p>
    <w:p>
      <w:pPr>
        <w:spacing w:before="0" w:after="0"/>
        <w:ind w:left="360"/>
      </w:pPr>
      <w:r>
        <w:rPr>
          <w:b/>
          <w:sz w:val="20"/>
        </w:rPr>
        <w:t xml:space="preserve">Recommendation: </w:t>
      </w:r>
      <w:r>
        <w:rPr>
          <w:sz w:val="20"/>
        </w:rPr>
        <w:t>Add an explicit statement confirming that the disclosed investment portfolio values for Xiaomi and Tencent exclude the value of their respective consolidated subsidiaries.</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189</w:t>
      </w:r>
    </w:p>
    <w:p>
      <w:pPr>
        <w:spacing w:before="0" w:after="0"/>
        <w:ind w:left="360"/>
      </w:pPr>
      <w:r>
        <w:rPr>
          <w:b/>
          <w:sz w:val="20"/>
        </w:rPr>
        <w:t xml:space="preserve">Anchor: </w:t>
      </w:r>
      <w:r>
        <w:rPr>
          <w:sz w:val="20"/>
        </w:rPr>
        <w:t>has a diverse investment portfolio of approximately RMB74.5 billion</w:t>
      </w:r>
    </w:p>
    <w:p>
      <w:pPr>
        <w:spacing w:before="120"/>
      </w:pPr>
      <w:r>
        <w:rPr>
          <w:b/>
          <w:sz w:val="22"/>
        </w:rPr>
        <w:t>Rule B7</w:t>
      </w:r>
      <w:r>
        <w:t xml:space="preserve"> — Parent Entity or Fund Manager Qualification</w:t>
      </w:r>
      <w:r>
        <w:t xml:space="preserve">   </w:t>
      </w:r>
      <w:r>
        <w:rPr>
          <w:b/>
          <w:color w:val="1A7A3C"/>
        </w:rPr>
        <w:t>[clear]</w:t>
      </w:r>
    </w:p>
    <w:p>
      <w:pPr>
        <w:spacing w:before="0" w:after="0"/>
        <w:ind w:left="360"/>
      </w:pPr>
      <w:r>
        <w:rPr>
          <w:b/>
          <w:sz w:val="20"/>
        </w:rPr>
        <w:t xml:space="preserve">Analysis: </w:t>
      </w:r>
      <w:r>
        <w:rPr>
          <w:sz w:val="20"/>
        </w:rPr>
        <w:t>All nine SIIs rely on the qualification of a parent entity or fund manager under para 23 of the Guide. For each, the prospectus (tier2/pre_ipo_investment, pages 186-191) identifies the qualifying parent/manager by name (e.g., Northern Light Venture Capital, Oceanpine, SummitView Capital, Xiaomi Corporation, Tencent Holdings Limited, etc.) and discloses its qualifying AUM or portfolio figure, satisfying the rule.</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186</w:t>
      </w:r>
    </w:p>
    <w:p>
      <w:pPr>
        <w:spacing w:before="0" w:after="0"/>
        <w:ind w:left="360"/>
      </w:pPr>
      <w:r>
        <w:rPr>
          <w:b/>
          <w:sz w:val="20"/>
        </w:rPr>
        <w:t xml:space="preserve">Anchor: </w:t>
      </w:r>
      <w:r>
        <w:rPr>
          <w:sz w:val="20"/>
        </w:rPr>
        <w:t>ultimately managed by Northern Light Venture Capital as the general partner</w:t>
      </w:r>
    </w:p>
    <w:p>
      <w:pPr>
        <w:spacing w:before="120"/>
      </w:pPr>
      <w:r>
        <w:rPr>
          <w:b/>
          <w:sz w:val="22"/>
        </w:rPr>
        <w:t>Rule B8</w:t>
      </w:r>
      <w:r>
        <w:t xml:space="preserve"> — HKEX Case-by-Case Acceptance</w:t>
      </w:r>
      <w:r>
        <w:t xml:space="preserve">   </w:t>
      </w:r>
      <w:r>
        <w:rPr>
          <w:b/>
          <w:color w:val="606060"/>
        </w:rPr>
        <w:t>[not_applicable]</w:t>
      </w:r>
    </w:p>
    <w:p>
      <w:pPr>
        <w:spacing w:before="0" w:after="0"/>
        <w:ind w:left="360"/>
      </w:pPr>
      <w:r>
        <w:rPr>
          <w:b/>
          <w:sz w:val="20"/>
        </w:rPr>
        <w:t xml:space="preserve">Analysis: </w:t>
      </w:r>
      <w:r>
        <w:rPr>
          <w:sz w:val="20"/>
        </w:rPr>
        <w:t>This rule is not triggered. All nine SIIs claim sophistication under one of the specific examples in para 21 of the Guide, as detailed in tier2/pre_ipo_investment, pages 186-191. No SII relies on a case-by-case acceptance under para 24.</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186</w:t>
      </w:r>
    </w:p>
    <w:p/>
    <w:p>
      <w:pPr>
        <w:pStyle w:val="Heading2"/>
      </w:pPr>
      <w:r>
        <w:t>Module C: SII Disclosure Requirements (Para 25)</w:t>
      </w:r>
    </w:p>
    <w:p>
      <w:pPr>
        <w:spacing w:before="120"/>
      </w:pPr>
      <w:r>
        <w:rPr>
          <w:b/>
          <w:sz w:val="22"/>
        </w:rPr>
        <w:t>Rule C1</w:t>
      </w:r>
      <w:r>
        <w:t xml:space="preserve"> — Size Disclosure and Basis of Determination</w:t>
      </w:r>
      <w:r>
        <w:t xml:space="preserve">   </w:t>
      </w:r>
      <w:r>
        <w:rPr>
          <w:b/>
          <w:color w:val="E67E00"/>
        </w:rPr>
        <w:t>[has_issues]</w:t>
      </w:r>
    </w:p>
    <w:p>
      <w:pPr>
        <w:spacing w:before="0" w:after="0"/>
        <w:ind w:left="360"/>
      </w:pPr>
      <w:r>
        <w:rPr>
          <w:b/>
          <w:sz w:val="20"/>
        </w:rPr>
        <w:t xml:space="preserve">Analysis: </w:t>
      </w:r>
      <w:r>
        <w:rPr>
          <w:sz w:val="20"/>
        </w:rPr>
        <w:t>The prospectus discloses the relevant size figures (AUM/portfolio) for each SII. However, all figures are qualified with 'approximately', which fails the requirement for specific disclosure.</w:t>
      </w:r>
    </w:p>
    <w:p>
      <w:pPr>
        <w:ind w:left="360"/>
      </w:pPr>
      <w:r>
        <w:rPr>
          <w:b/>
          <w:sz w:val="20"/>
        </w:rPr>
        <w:t>Finding 1: Language [Critical / Insufficient]</w:t>
      </w:r>
    </w:p>
    <w:p>
      <w:pPr>
        <w:spacing w:before="0" w:after="0"/>
        <w:ind w:left="360"/>
      </w:pPr>
      <w:r>
        <w:rPr>
          <w:b/>
          <w:sz w:val="20"/>
        </w:rPr>
        <w:t xml:space="preserve">Explanation: </w:t>
      </w:r>
      <w:r>
        <w:rPr>
          <w:sz w:val="20"/>
        </w:rPr>
        <w:t>Per para 25 of the Guide, the size of AUM, fund, or portfolio must be disclosed. Across pages 186-191 of tier2/pre_ipo_investment, all monetary figures used to substantiate sophistication are qualified with 'approximately'. This hedging language is inconsistent with the requirement for specific and precise disclosure.</w:t>
      </w:r>
    </w:p>
    <w:p>
      <w:pPr>
        <w:spacing w:before="0" w:after="0"/>
        <w:ind w:left="360"/>
      </w:pPr>
      <w:r>
        <w:rPr>
          <w:b/>
          <w:sz w:val="20"/>
        </w:rPr>
        <w:t xml:space="preserve">Recommendation: </w:t>
      </w:r>
      <w:r>
        <w:rPr>
          <w:sz w:val="20"/>
        </w:rPr>
        <w:t>Remove the word 'approximately' from all AUM and portfolio size disclosures and provide exact figures as of the reference dates.</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186</w:t>
      </w:r>
    </w:p>
    <w:p>
      <w:pPr>
        <w:spacing w:before="0" w:after="0"/>
        <w:ind w:left="360"/>
      </w:pPr>
      <w:r>
        <w:rPr>
          <w:b/>
          <w:sz w:val="20"/>
        </w:rPr>
        <w:t xml:space="preserve">Anchor: </w:t>
      </w:r>
      <w:r>
        <w:rPr>
          <w:sz w:val="20"/>
        </w:rPr>
        <w:t>was approximately HK$17.69 billion as of June 30, 2016</w:t>
      </w:r>
    </w:p>
    <w:p>
      <w:pPr>
        <w:spacing w:before="120"/>
      </w:pPr>
      <w:r>
        <w:rPr>
          <w:b/>
          <w:sz w:val="22"/>
        </w:rPr>
        <w:t>Rule C2</w:t>
      </w:r>
      <w:r>
        <w:t xml:space="preserve"> — Reference Date (Definitive Agreement)</w:t>
      </w:r>
      <w:r>
        <w:t xml:space="preserve">   </w:t>
      </w:r>
      <w:r>
        <w:rPr>
          <w:b/>
          <w:color w:val="E67E00"/>
        </w:rPr>
        <w:t>[has_issues]</w:t>
      </w:r>
    </w:p>
    <w:p>
      <w:pPr>
        <w:spacing w:before="0" w:after="0"/>
        <w:ind w:left="360"/>
      </w:pPr>
      <w:r>
        <w:rPr>
          <w:b/>
          <w:sz w:val="20"/>
        </w:rPr>
        <w:t xml:space="preserve">Analysis: </w:t>
      </w:r>
      <w:r>
        <w:rPr>
          <w:sz w:val="20"/>
        </w:rPr>
        <w:t>The prospectus fails to provide a specific reference date for the first set of AUM/portfolio figures for each SII. Instead, a footnote provides a generic formula, making it impossible to verify compliance with the requirement that the information be as of a date no more than 6 months before the signing of the definitive agreement.</w:t>
      </w:r>
    </w:p>
    <w:p>
      <w:pPr>
        <w:ind w:left="360"/>
      </w:pPr>
      <w:r>
        <w:rPr>
          <w:b/>
          <w:sz w:val="20"/>
        </w:rPr>
        <w:t>Finding 1: Disclosure [Critical / Absent]</w:t>
      </w:r>
    </w:p>
    <w:p>
      <w:pPr>
        <w:spacing w:before="0" w:after="0"/>
        <w:ind w:left="360"/>
      </w:pPr>
      <w:r>
        <w:rPr>
          <w:b/>
          <w:sz w:val="20"/>
        </w:rPr>
        <w:t xml:space="preserve">Explanation: </w:t>
      </w:r>
      <w:r>
        <w:rPr>
          <w:sz w:val="20"/>
        </w:rPr>
        <w:t>Per para 25(i) of the Guide, sophistication information must be provided as of a specific reference date no more than 6 months before the definitive agreement date. Footnote (1) on page 191 of tier2/pre_ipo_investment links the first set of figures to a generic timeframe ('a date not more than six months prior to the date on which the relevant investor signed the relevant definitive agreement') rather than disclosing the specific reference date for each SII. This prevents verification of the 6-month rule.</w:t>
      </w:r>
    </w:p>
    <w:p>
      <w:pPr>
        <w:spacing w:before="0" w:after="0"/>
        <w:ind w:left="360"/>
      </w:pPr>
      <w:r>
        <w:rPr>
          <w:b/>
          <w:sz w:val="20"/>
        </w:rPr>
        <w:t xml:space="preserve">Recommendation: </w:t>
      </w:r>
      <w:r>
        <w:rPr>
          <w:sz w:val="20"/>
        </w:rPr>
        <w:t>For each SII, disclose the specific calendar date (e.g., 'as of June 30, 2021') for the first set of AUM/portfolio figures, and also disclose the corresponding definitive agreement date to allow for verification of the 6-month interval.</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191</w:t>
      </w:r>
    </w:p>
    <w:p>
      <w:pPr>
        <w:spacing w:before="0" w:after="0"/>
        <w:ind w:left="360"/>
      </w:pPr>
      <w:r>
        <w:rPr>
          <w:b/>
          <w:sz w:val="20"/>
        </w:rPr>
        <w:t xml:space="preserve">Anchor: </w:t>
      </w:r>
      <w:r>
        <w:rPr>
          <w:sz w:val="20"/>
        </w:rPr>
        <w:t>not more than six months prior to the date on which the relevant investor signed</w:t>
      </w:r>
    </w:p>
    <w:p>
      <w:pPr>
        <w:spacing w:before="120"/>
      </w:pPr>
      <w:r>
        <w:rPr>
          <w:b/>
          <w:sz w:val="22"/>
        </w:rPr>
        <w:t>Rule C3</w:t>
      </w:r>
      <w:r>
        <w:t xml:space="preserve"> — Reference Date (Listing Application)</w:t>
      </w:r>
      <w:r>
        <w:t xml:space="preserve">   </w:t>
      </w:r>
      <w:r>
        <w:rPr>
          <w:b/>
          <w:color w:val="E67E00"/>
        </w:rPr>
        <w:t>[has_issues]</w:t>
      </w:r>
    </w:p>
    <w:p>
      <w:pPr>
        <w:spacing w:before="0" w:after="0"/>
        <w:ind w:left="360"/>
      </w:pPr>
      <w:r>
        <w:rPr>
          <w:b/>
          <w:sz w:val="20"/>
        </w:rPr>
        <w:t xml:space="preserve">Analysis: </w:t>
      </w:r>
      <w:r>
        <w:rPr>
          <w:sz w:val="20"/>
        </w:rPr>
        <w:t>The prospectus provides a second set of figures with reference dates in late 2023. However, the first listing application was filed on June 29, 2023. The rule requires the reference date to be no more than 6 months *before* the application date. The disclosed dates are *after* the application date, failing to meet the threshold requirement.</w:t>
      </w:r>
    </w:p>
    <w:p>
      <w:pPr>
        <w:ind w:left="360"/>
      </w:pPr>
      <w:r>
        <w:rPr>
          <w:b/>
          <w:sz w:val="20"/>
        </w:rPr>
        <w:t>Finding 1: Threshold [Critical / Insufficient]</w:t>
      </w:r>
    </w:p>
    <w:p>
      <w:pPr>
        <w:spacing w:before="0" w:after="0"/>
        <w:ind w:left="360"/>
      </w:pPr>
      <w:r>
        <w:rPr>
          <w:b/>
          <w:sz w:val="20"/>
        </w:rPr>
        <w:t xml:space="preserve">Explanation: </w:t>
      </w:r>
      <w:r>
        <w:rPr>
          <w:sz w:val="20"/>
        </w:rPr>
        <w:t>Per para 25(ii) of the Guide, a second set of sophistication figures must be provided as of a reference date no more than 6 months *before* the listing application date. The first listing application was submitted on June 29, 2023. The second reference dates provided (e.g., 'September 30, 2023' for Northern Light, 'December 31, 2023' for Oceanpine) are all *after* the application date, not before. This fails to comply with the timing requirement of the rule.</w:t>
      </w:r>
    </w:p>
    <w:p>
      <w:pPr>
        <w:spacing w:before="0" w:after="0"/>
        <w:ind w:left="360"/>
      </w:pPr>
      <w:r>
        <w:rPr>
          <w:b/>
          <w:sz w:val="20"/>
        </w:rPr>
        <w:t xml:space="preserve">Recommendation: </w:t>
      </w:r>
      <w:r>
        <w:rPr>
          <w:sz w:val="20"/>
        </w:rPr>
        <w:t>Provide a second set of AUM/portfolio figures for each SII as of a specific reference date that is within the 6-month period *prior* to June 29, 2023.</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186</w:t>
      </w:r>
    </w:p>
    <w:p>
      <w:pPr>
        <w:spacing w:before="0" w:after="0"/>
        <w:ind w:left="360"/>
      </w:pPr>
      <w:r>
        <w:rPr>
          <w:b/>
          <w:sz w:val="20"/>
        </w:rPr>
        <w:t xml:space="preserve">Anchor: </w:t>
      </w:r>
      <w:r>
        <w:rPr>
          <w:sz w:val="20"/>
        </w:rPr>
        <w:t>and approximately HK$31.19 billion as of September 30, 2023</w:t>
      </w:r>
    </w:p>
    <w:p>
      <w:pPr>
        <w:spacing w:before="120"/>
      </w:pPr>
      <w:r>
        <w:rPr>
          <w:b/>
          <w:sz w:val="22"/>
        </w:rPr>
        <w:t>Rule C4</w:t>
      </w:r>
      <w:r>
        <w:t xml:space="preserve"> — Confidentiality Carve-Out</w:t>
      </w:r>
      <w:r>
        <w:t xml:space="preserve">   </w:t>
      </w:r>
      <w:r>
        <w:rPr>
          <w:b/>
          <w:color w:val="606060"/>
        </w:rPr>
        <w:t>[not_applicable]</w:t>
      </w:r>
    </w:p>
    <w:p>
      <w:pPr>
        <w:spacing w:before="0" w:after="0"/>
        <w:ind w:left="360"/>
      </w:pPr>
      <w:r>
        <w:rPr>
          <w:b/>
          <w:sz w:val="20"/>
        </w:rPr>
        <w:t xml:space="preserve">Analysis: </w:t>
      </w:r>
      <w:r>
        <w:rPr>
          <w:sz w:val="20"/>
        </w:rPr>
        <w:t>This rule is not triggered. The prospectus does not invoke the confidentiality carve-out for any SII. It attempts to provide the required disclosures for all SIIs.</w:t>
      </w:r>
    </w:p>
    <w:p/>
    <w:p>
      <w:pPr>
        <w:pStyle w:val="Heading2"/>
      </w:pPr>
      <w:r>
        <w:t>Module D: Pathfinder SII Requirements (Para 26(i))</w:t>
      </w:r>
    </w:p>
    <w:p>
      <w:pPr>
        <w:spacing w:before="120"/>
      </w:pPr>
      <w:r>
        <w:rPr>
          <w:b/>
          <w:sz w:val="22"/>
        </w:rPr>
        <w:t>Rule D1a</w:t>
      </w:r>
      <w:r>
        <w:t xml:space="preserve"> — Pathfinder SII Count</w:t>
      </w:r>
      <w:r>
        <w:t xml:space="preserve">   </w:t>
      </w:r>
      <w:r>
        <w:rPr>
          <w:b/>
          <w:color w:val="1A7A3C"/>
        </w:rPr>
        <w:t>[clear]</w:t>
      </w:r>
    </w:p>
    <w:p>
      <w:pPr>
        <w:spacing w:before="0" w:after="0"/>
        <w:ind w:left="360"/>
      </w:pPr>
      <w:r>
        <w:rPr>
          <w:b/>
          <w:sz w:val="20"/>
        </w:rPr>
        <w:t xml:space="preserve">Analysis: </w:t>
      </w:r>
      <w:r>
        <w:rPr>
          <w:sz w:val="20"/>
        </w:rPr>
        <w:t>The prospectus identifies two Pathfinder SIIs: the Northern Light SIIs and the Oceanpine SIIs (tier2/pre_ipo_investment, page 195). This count of two is within the required range of 2 to 5 (PARAM_D_COUNT_MIN to PARAM_D_COUNT_MAX) as per para 26(i) of the Guide.</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195</w:t>
      </w:r>
    </w:p>
    <w:p>
      <w:pPr>
        <w:spacing w:before="0" w:after="0"/>
        <w:ind w:left="360"/>
      </w:pPr>
      <w:r>
        <w:rPr>
          <w:b/>
          <w:sz w:val="20"/>
        </w:rPr>
        <w:t xml:space="preserve">Anchor: </w:t>
      </w:r>
      <w:r>
        <w:rPr>
          <w:sz w:val="20"/>
        </w:rPr>
        <w:t>investments from two Pathfinder SIIs, namely the Northern Light SIIs</w:t>
      </w:r>
    </w:p>
    <w:p>
      <w:pPr>
        <w:spacing w:before="120"/>
      </w:pPr>
      <w:r>
        <w:rPr>
          <w:b/>
          <w:sz w:val="22"/>
        </w:rPr>
        <w:t>Rule D1b</w:t>
      </w:r>
      <w:r>
        <w:t xml:space="preserve"> — Pathfinder SII Investment Timing</w:t>
      </w:r>
      <w:r>
        <w:t xml:space="preserve">   </w:t>
      </w:r>
      <w:r>
        <w:rPr>
          <w:b/>
          <w:color w:val="E67E00"/>
        </w:rPr>
        <w:t>[has_issues]</w:t>
      </w:r>
    </w:p>
    <w:p>
      <w:pPr>
        <w:spacing w:before="0" w:after="0"/>
        <w:ind w:left="360"/>
      </w:pPr>
      <w:r>
        <w:rPr>
          <w:b/>
          <w:sz w:val="20"/>
        </w:rPr>
        <w:t xml:space="preserve">Analysis: </w:t>
      </w:r>
      <w:r>
        <w:rPr>
          <w:sz w:val="20"/>
        </w:rPr>
        <w:t>The prospectus states investment dates for both Pathfinder SIIs (September 2016 for Northern Light, September 2020 for Oceanpine) which are more than 12 months before the listing application date of June 29, 2023. However, it fails to specify that these dates represent the 'irrevocable settlement date' as required by para 30 of the Guide.</w:t>
      </w:r>
    </w:p>
    <w:p>
      <w:pPr>
        <w:ind w:left="360"/>
      </w:pPr>
      <w:r>
        <w:rPr>
          <w:b/>
          <w:sz w:val="20"/>
        </w:rPr>
        <w:t>Finding 1: Language [Critical / Insufficient]</w:t>
      </w:r>
    </w:p>
    <w:p>
      <w:pPr>
        <w:spacing w:before="0" w:after="0"/>
        <w:ind w:left="360"/>
      </w:pPr>
      <w:r>
        <w:rPr>
          <w:b/>
          <w:sz w:val="20"/>
        </w:rPr>
        <w:t xml:space="preserve">Explanation: </w:t>
      </w:r>
      <w:r>
        <w:rPr>
          <w:sz w:val="20"/>
        </w:rPr>
        <w:t>Per para 30 of the Guide, the investment date for the 12-month holding period is the date of irrevocable settlement. The prospectus (tier2/pathfinder_sii, page 176) uses the vague phrase 'first invested in' to describe the investment dates for Northern Light SIIs (September 2016) and Oceanpine SIIs (September 2020). It does not explicitly confirm these dates refer to irrevocable settlement, which is a specific requirement to ensure the timing test is met.</w:t>
      </w:r>
    </w:p>
    <w:p>
      <w:pPr>
        <w:spacing w:before="0" w:after="0"/>
        <w:ind w:left="360"/>
      </w:pPr>
      <w:r>
        <w:rPr>
          <w:b/>
          <w:sz w:val="20"/>
        </w:rPr>
        <w:t xml:space="preserve">Recommendation: </w:t>
      </w:r>
      <w:r>
        <w:rPr>
          <w:sz w:val="20"/>
        </w:rPr>
        <w:t>For each Pathfinder SII, explicitly state the date of irrevocable settlement for the investment being counted towards the 12-month holding period requirement.</w:t>
      </w:r>
    </w:p>
    <w:p>
      <w:pPr>
        <w:spacing w:before="0" w:after="0"/>
        <w:ind w:left="360"/>
      </w:pPr>
      <w:r>
        <w:rPr>
          <w:b/>
          <w:sz w:val="20"/>
        </w:rPr>
        <w:t xml:space="preserve">Source: </w:t>
      </w:r>
      <w:r>
        <w:rPr>
          <w:sz w:val="20"/>
        </w:rPr>
        <w:t>tier2/pathfinder_sii</w:t>
      </w:r>
    </w:p>
    <w:p>
      <w:pPr>
        <w:spacing w:before="0" w:after="0"/>
        <w:ind w:left="360"/>
      </w:pPr>
      <w:r>
        <w:rPr>
          <w:b/>
          <w:sz w:val="20"/>
        </w:rPr>
        <w:t xml:space="preserve">Page: </w:t>
      </w:r>
      <w:r>
        <w:rPr>
          <w:sz w:val="20"/>
        </w:rPr>
        <w:t>176</w:t>
      </w:r>
    </w:p>
    <w:p>
      <w:pPr>
        <w:spacing w:before="0" w:after="0"/>
        <w:ind w:left="360"/>
      </w:pPr>
      <w:r>
        <w:rPr>
          <w:b/>
          <w:sz w:val="20"/>
        </w:rPr>
        <w:t xml:space="preserve">Anchor: </w:t>
      </w:r>
      <w:r>
        <w:rPr>
          <w:sz w:val="20"/>
        </w:rPr>
        <w:t>one of our Pathfinder SIIs, first invested in our Company</w:t>
      </w:r>
    </w:p>
    <w:p>
      <w:pPr>
        <w:spacing w:before="120"/>
      </w:pPr>
      <w:r>
        <w:rPr>
          <w:b/>
          <w:sz w:val="22"/>
        </w:rPr>
        <w:t>Rule D2</w:t>
      </w:r>
      <w:r>
        <w:t xml:space="preserve"> — Pathfinder SII Aggregate Threshold</w:t>
      </w:r>
      <w:r>
        <w:t xml:space="preserve">   </w:t>
      </w:r>
      <w:r>
        <w:rPr>
          <w:b/>
          <w:color w:val="1A7A3C"/>
        </w:rPr>
        <w:t>[clear]</w:t>
      </w:r>
    </w:p>
    <w:p>
      <w:pPr>
        <w:spacing w:before="0" w:after="0"/>
        <w:ind w:left="360"/>
      </w:pPr>
      <w:r>
        <w:rPr>
          <w:b/>
          <w:sz w:val="20"/>
        </w:rPr>
        <w:t xml:space="preserve">Analysis: </w:t>
      </w:r>
      <w:r>
        <w:rPr>
          <w:sz w:val="20"/>
        </w:rPr>
        <w:t>The prospectus discloses on page 187 of tier2/pre_ipo_investment that the Pathfinder SIIs held, in aggregate, 17.45% at the listing application date (June 29, 2023) and 19.05% at the start of the 12-month pre-application period (June 29, 2022). Both figures exceed the 10% aggregate shareholding threshold (PARAM_D2_AGG_PCT), satisfying para 26(i)(a) of the Guide.</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187</w:t>
      </w:r>
    </w:p>
    <w:p>
      <w:pPr>
        <w:spacing w:before="0" w:after="0"/>
        <w:ind w:left="360"/>
      </w:pPr>
      <w:r>
        <w:rPr>
          <w:b/>
          <w:sz w:val="20"/>
        </w:rPr>
        <w:t xml:space="preserve">Anchor: </w:t>
      </w:r>
      <w:r>
        <w:rPr>
          <w:sz w:val="20"/>
        </w:rPr>
        <w:t>Our Pathfinder SIIs, in aggregate, held approximately 17.45% and 19.05%</w:t>
      </w:r>
    </w:p>
    <w:p>
      <w:pPr>
        <w:spacing w:before="120"/>
      </w:pPr>
      <w:r>
        <w:rPr>
          <w:b/>
          <w:sz w:val="22"/>
        </w:rPr>
        <w:t>Rule D3</w:t>
      </w:r>
      <w:r>
        <w:t xml:space="preserve"> — Individual Pathfinder SII Threshold</w:t>
      </w:r>
      <w:r>
        <w:t xml:space="preserve">   </w:t>
      </w:r>
      <w:r>
        <w:rPr>
          <w:b/>
          <w:color w:val="1A7A3C"/>
        </w:rPr>
        <w:t>[clear]</w:t>
      </w:r>
    </w:p>
    <w:p>
      <w:pPr>
        <w:spacing w:before="0" w:after="0"/>
        <w:ind w:left="360"/>
      </w:pPr>
      <w:r>
        <w:rPr>
          <w:b/>
          <w:sz w:val="20"/>
        </w:rPr>
        <w:t xml:space="preserve">Analysis: </w:t>
      </w:r>
      <w:r>
        <w:rPr>
          <w:sz w:val="20"/>
        </w:rPr>
        <w:t>The prospectus discloses on pages 186-187 of tier2/pre_ipo_investment that at the two relevant dates (June 29, 2023 and June 29, 2022), Northern Light SIIs held 11.48% and 12.53% respectively, and Oceanpine SIIs held 5.97% and 6.52% respectively. As there are two Pathfinder SIIs, and both individually exceed the 3% threshold (PARAM_D3_IND_PCT) throughout the period, the requirement of para 26(i)(b) is met.</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186</w:t>
      </w:r>
    </w:p>
    <w:p>
      <w:pPr>
        <w:spacing w:before="0" w:after="0"/>
        <w:ind w:left="360"/>
      </w:pPr>
      <w:r>
        <w:rPr>
          <w:b/>
          <w:sz w:val="20"/>
        </w:rPr>
        <w:t xml:space="preserve">Anchor: </w:t>
      </w:r>
      <w:r>
        <w:rPr>
          <w:sz w:val="20"/>
        </w:rPr>
        <w:t>the Northern Light SIIs held approximately 11.48% and 12.53%</w:t>
      </w:r>
    </w:p>
    <w:p/>
    <w:p>
      <w:pPr>
        <w:pStyle w:val="Heading2"/>
      </w:pPr>
      <w:r>
        <w:t>Module E: Aggregate SII Investment Benchmark (Para 26(ii))</w:t>
      </w:r>
    </w:p>
    <w:p>
      <w:pPr>
        <w:spacing w:before="120"/>
      </w:pPr>
      <w:r>
        <w:rPr>
          <w:b/>
          <w:sz w:val="22"/>
        </w:rPr>
        <w:t>Rule E1</w:t>
      </w:r>
      <w:r>
        <w:t xml:space="preserve"> — Aggregate SII Shareholding Benchmark</w:t>
      </w:r>
      <w:r>
        <w:t xml:space="preserve">   </w:t>
      </w:r>
      <w:r>
        <w:rPr>
          <w:b/>
          <w:color w:val="1A7A3C"/>
        </w:rPr>
        <w:t>[clear]</w:t>
      </w:r>
    </w:p>
    <w:p>
      <w:pPr>
        <w:spacing w:before="0" w:after="0"/>
        <w:ind w:left="360"/>
      </w:pPr>
      <w:r>
        <w:rPr>
          <w:b/>
          <w:sz w:val="20"/>
        </w:rPr>
        <w:t xml:space="preserve">Analysis: </w:t>
      </w:r>
      <w:r>
        <w:rPr>
          <w:sz w:val="20"/>
        </w:rPr>
        <w:t>The prospectus discloses on page 195 of tier2/pre_ipo_investment that all SIIs held approximately 36.46% as of the Latest Practicable Date, and states that 'At Listing, such Sophisticated Independent Investors will hold, in aggregate, no less than 15% in the total issued share capital'. This meets the applicable 15% threshold (PARAM_E_COMM_MID) for a Commercial Company in the HK$15-30bn market cap tier, satisfying para 26(ii) of the Guide.</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195</w:t>
      </w:r>
    </w:p>
    <w:p>
      <w:pPr>
        <w:spacing w:before="0" w:after="0"/>
        <w:ind w:left="360"/>
      </w:pPr>
      <w:r>
        <w:rPr>
          <w:b/>
          <w:sz w:val="20"/>
        </w:rPr>
        <w:t xml:space="preserve">Anchor: </w:t>
      </w:r>
      <w:r>
        <w:rPr>
          <w:sz w:val="20"/>
        </w:rPr>
        <w:t>will hold, in aggregate, no less than 15% in the total issued share capital</w:t>
      </w:r>
    </w:p>
    <w:p>
      <w:pPr>
        <w:spacing w:before="120"/>
      </w:pPr>
      <w:r>
        <w:rPr>
          <w:b/>
          <w:sz w:val="22"/>
        </w:rPr>
        <w:t>Rule E2</w:t>
      </w:r>
      <w:r>
        <w:t xml:space="preserve"> — Threshold Tier Verification</w:t>
      </w:r>
      <w:r>
        <w:t xml:space="preserve">   </w:t>
      </w:r>
      <w:r>
        <w:rPr>
          <w:b/>
          <w:color w:val="1A7A3C"/>
        </w:rPr>
        <w:t>[clear]</w:t>
      </w:r>
    </w:p>
    <w:p>
      <w:pPr>
        <w:spacing w:before="0" w:after="0"/>
        <w:ind w:left="360"/>
      </w:pPr>
      <w:r>
        <w:rPr>
          <w:b/>
          <w:sz w:val="20"/>
        </w:rPr>
        <w:t xml:space="preserve">Analysis: </w:t>
      </w:r>
      <w:r>
        <w:rPr>
          <w:sz w:val="20"/>
        </w:rPr>
        <w:t>Based on the Commercial Company status (determined in P2) and the expected market cap exceeding HK$15bn (determined in P3), the applicable aggregate SII threshold is 15% (PARAM_E_COMM_MID). The prospectus correctly identifies and applies this 15% threshold on page 195 of tier2/pre_ipo_investment, satisfying the rule.</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195</w:t>
      </w:r>
    </w:p>
    <w:p>
      <w:pPr>
        <w:spacing w:before="0" w:after="0"/>
        <w:ind w:left="360"/>
      </w:pPr>
      <w:r>
        <w:rPr>
          <w:b/>
          <w:sz w:val="20"/>
        </w:rPr>
        <w:t xml:space="preserve">Anchor: </w:t>
      </w:r>
      <w:r>
        <w:rPr>
          <w:sz w:val="20"/>
        </w:rPr>
        <w:t>assuming that our expected market capitalization at the time of Listing will exceed HK$15 billion</w:t>
      </w:r>
    </w:p>
    <w:p/>
    <w:p>
      <w:pPr>
        <w:pStyle w:val="Heading2"/>
      </w:pPr>
      <w:r>
        <w:t>Module F: Convertible Securities (Paras 27–28)</w:t>
      </w:r>
    </w:p>
    <w:p>
      <w:pPr>
        <w:spacing w:before="120"/>
      </w:pPr>
      <w:r>
        <w:rPr>
          <w:b/>
          <w:sz w:val="22"/>
        </w:rPr>
        <w:t>Rule F1</w:t>
      </w:r>
      <w:r>
        <w:t xml:space="preserve"> — Conversion Requirement</w:t>
      </w:r>
      <w:r>
        <w:t xml:space="preserve">   </w:t>
      </w:r>
      <w:r>
        <w:rPr>
          <w:b/>
          <w:color w:val="1A7A3C"/>
        </w:rPr>
        <w:t>[clear]</w:t>
      </w:r>
    </w:p>
    <w:p>
      <w:pPr>
        <w:spacing w:before="0" w:after="0"/>
        <w:ind w:left="360"/>
      </w:pPr>
      <w:r>
        <w:rPr>
          <w:b/>
          <w:sz w:val="20"/>
        </w:rPr>
        <w:t xml:space="preserve">Analysis: </w:t>
      </w:r>
      <w:r>
        <w:rPr>
          <w:sz w:val="20"/>
        </w:rPr>
        <w:t>The prospectus states on page 185 of tier2/pre_ipo_investment that 'All of the Preferred Shares will be converted into Shares on a one-to-one basis immediately upon completion of the Global Offering'. This confirms that the convertible securities held by SIIs will be converted at or before listing, satisfying para 27 of the Guide.</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185</w:t>
      </w:r>
    </w:p>
    <w:p>
      <w:pPr>
        <w:spacing w:before="0" w:after="0"/>
        <w:ind w:left="360"/>
      </w:pPr>
      <w:r>
        <w:rPr>
          <w:b/>
          <w:sz w:val="20"/>
        </w:rPr>
        <w:t xml:space="preserve">Anchor: </w:t>
      </w:r>
      <w:r>
        <w:rPr>
          <w:sz w:val="20"/>
        </w:rPr>
        <w:t>All of the Preferred Shares will be converted into Shares</w:t>
      </w:r>
    </w:p>
    <w:p>
      <w:pPr>
        <w:spacing w:before="120"/>
      </w:pPr>
      <w:r>
        <w:rPr>
          <w:b/>
          <w:sz w:val="22"/>
        </w:rPr>
        <w:t>Rule F2</w:t>
      </w:r>
      <w:r>
        <w:t xml:space="preserve"> — Convertible Securities Counting Basis</w:t>
      </w:r>
      <w:r>
        <w:t xml:space="preserve">   </w:t>
      </w:r>
      <w:r>
        <w:rPr>
          <w:b/>
          <w:color w:val="1A7A3C"/>
        </w:rPr>
        <w:t>[clear]</w:t>
      </w:r>
    </w:p>
    <w:p>
      <w:pPr>
        <w:spacing w:before="0" w:after="0"/>
        <w:ind w:left="360"/>
      </w:pPr>
      <w:r>
        <w:rPr>
          <w:b/>
          <w:sz w:val="20"/>
        </w:rPr>
        <w:t xml:space="preserve">Analysis: </w:t>
      </w:r>
      <w:r>
        <w:rPr>
          <w:sz w:val="20"/>
        </w:rPr>
        <w:t>The capitalization table on pages 198-204 of tier2/pre_ipo_investment discloses the number of Preferred Shares of each series held by each Pre-IPO investor, including all SIIs. Page 185 confirms a one-to-one conversion basis. This allows for the calculation of the number of shares to be converted for each SII, satisfying para 28 of the Guide.</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198</w:t>
      </w:r>
    </w:p>
    <w:p>
      <w:pPr>
        <w:spacing w:before="0" w:after="0"/>
        <w:ind w:left="360"/>
      </w:pPr>
      <w:r>
        <w:rPr>
          <w:b/>
          <w:sz w:val="20"/>
        </w:rPr>
        <w:t xml:space="preserve">Anchor: </w:t>
      </w:r>
      <w:r>
        <w:rPr>
          <w:sz w:val="20"/>
        </w:rPr>
        <w:t>CAPITALIZATION OF OUR COMPANY</w:t>
      </w:r>
    </w:p>
    <w:p/>
    <w:p>
      <w:pPr>
        <w:pStyle w:val="Heading2"/>
      </w:pPr>
      <w:r>
        <w:t>Module G: Shareholding Fluctuations (Paras 29–31)</w:t>
      </w:r>
    </w:p>
    <w:p>
      <w:pPr>
        <w:spacing w:before="120"/>
      </w:pPr>
      <w:r>
        <w:rPr>
          <w:b/>
          <w:sz w:val="22"/>
        </w:rPr>
        <w:t>Rule G1</w:t>
      </w:r>
      <w:r>
        <w:t xml:space="preserve"> — Temporary Dilution Without Top-Up</w:t>
      </w:r>
      <w:r>
        <w:t xml:space="preserve">   </w:t>
      </w:r>
      <w:r>
        <w:rPr>
          <w:b/>
          <w:color w:val="1A7A3C"/>
        </w:rPr>
        <w:t>[clear]</w:t>
      </w:r>
    </w:p>
    <w:p>
      <w:pPr>
        <w:spacing w:before="0" w:after="0"/>
        <w:ind w:left="360"/>
      </w:pPr>
      <w:r>
        <w:rPr>
          <w:b/>
          <w:sz w:val="20"/>
        </w:rPr>
        <w:t xml:space="preserve">Analysis: </w:t>
      </w:r>
      <w:r>
        <w:rPr>
          <w:sz w:val="20"/>
        </w:rPr>
        <w:t>This rule is triggered as Pathfinder SII shareholdings fluctuated during the 12-month pre-application period. The prospectus (tier2/pre_ipo_investment, pages 186-187) discloses the holdings at the start (June 29, 2022) and end (June 29, 2023) of the period. For both Pathfinder SIIs, the individual and aggregate holdings exceeded the required thresholds at both points in time, demonstrating compliance throughout the period without needing to rely on the averaging method in para 29(i) of the Guide.</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187</w:t>
      </w:r>
    </w:p>
    <w:p>
      <w:pPr>
        <w:spacing w:before="0" w:after="0"/>
        <w:ind w:left="360"/>
      </w:pPr>
      <w:r>
        <w:rPr>
          <w:b/>
          <w:sz w:val="20"/>
        </w:rPr>
        <w:t xml:space="preserve">Anchor: </w:t>
      </w:r>
      <w:r>
        <w:rPr>
          <w:sz w:val="20"/>
        </w:rPr>
        <w:t>held approximately 17.45% and 19.05% of the total issued share capital</w:t>
      </w:r>
    </w:p>
    <w:p>
      <w:pPr>
        <w:spacing w:before="120"/>
      </w:pPr>
      <w:r>
        <w:rPr>
          <w:b/>
          <w:sz w:val="22"/>
        </w:rPr>
        <w:t>Rule G2</w:t>
      </w:r>
      <w:r>
        <w:t xml:space="preserve"> — Top-Up Mechanism</w:t>
      </w:r>
      <w:r>
        <w:t xml:space="preserve">   </w:t>
      </w:r>
      <w:r>
        <w:rPr>
          <w:b/>
          <w:color w:val="606060"/>
        </w:rPr>
        <w:t>[not_applicable]</w:t>
      </w:r>
    </w:p>
    <w:p>
      <w:pPr>
        <w:spacing w:before="0" w:after="0"/>
        <w:ind w:left="360"/>
      </w:pPr>
      <w:r>
        <w:rPr>
          <w:b/>
          <w:sz w:val="20"/>
        </w:rPr>
        <w:t xml:space="preserve">Analysis: </w:t>
      </w:r>
      <w:r>
        <w:rPr>
          <w:sz w:val="20"/>
        </w:rPr>
        <w:t>This rule is not triggered. The prospectus does not disclose or rely on any top-up mechanism to cure a temporary dilution for any Pathfinder SII.</w:t>
      </w:r>
    </w:p>
    <w:p>
      <w:pPr>
        <w:spacing w:before="120"/>
      </w:pPr>
      <w:r>
        <w:rPr>
          <w:b/>
          <w:sz w:val="22"/>
        </w:rPr>
        <w:t>Rule G3</w:t>
      </w:r>
      <w:r>
        <w:t xml:space="preserve"> — Investment Date Definition</w:t>
      </w:r>
      <w:r>
        <w:t xml:space="preserve">   </w:t>
      </w:r>
      <w:r>
        <w:rPr>
          <w:b/>
          <w:color w:val="E67E00"/>
        </w:rPr>
        <w:t>[has_issues]</w:t>
      </w:r>
    </w:p>
    <w:p>
      <w:pPr>
        <w:spacing w:before="0" w:after="0"/>
        <w:ind w:left="360"/>
      </w:pPr>
      <w:r>
        <w:rPr>
          <w:b/>
          <w:sz w:val="20"/>
        </w:rPr>
        <w:t xml:space="preserve">Analysis: </w:t>
      </w:r>
      <w:r>
        <w:rPr>
          <w:sz w:val="20"/>
        </w:rPr>
        <w:t>The prospectus refers to investment dates using general terms like 'first invested in' and links other dates to the signing of agreements. It fails to explicitly state that the investment dates for Pathfinder SIIs are by reference to the date of 'irrevocable settlement' as specifically required by para 30 of the Guide.</w:t>
      </w:r>
    </w:p>
    <w:p>
      <w:pPr>
        <w:ind w:left="360"/>
      </w:pPr>
      <w:r>
        <w:rPr>
          <w:b/>
          <w:sz w:val="20"/>
        </w:rPr>
        <w:t>Finding 1: Language [Medium / Insufficient]</w:t>
      </w:r>
    </w:p>
    <w:p>
      <w:pPr>
        <w:spacing w:before="0" w:after="0"/>
        <w:ind w:left="360"/>
      </w:pPr>
      <w:r>
        <w:rPr>
          <w:b/>
          <w:sz w:val="20"/>
        </w:rPr>
        <w:t xml:space="preserve">Explanation: </w:t>
      </w:r>
      <w:r>
        <w:rPr>
          <w:sz w:val="20"/>
        </w:rPr>
        <w:t>Per para 30 of the Guide, the investment date for timing calculations must be the date of irrevocable settlement. The prospectus uses vague phrasing such as 'first invested in' (tier2/pathfinder_sii, page 176) and references dates of subscription agreements (tier2/pre_ipo_investment, page 181). It does not explicitly confirm that the dates used for the 12-month holding period test (Rule D1b) are based on irrevocable settlement.</w:t>
      </w:r>
    </w:p>
    <w:p>
      <w:pPr>
        <w:spacing w:before="0" w:after="0"/>
        <w:ind w:left="360"/>
      </w:pPr>
      <w:r>
        <w:rPr>
          <w:b/>
          <w:sz w:val="20"/>
        </w:rPr>
        <w:t xml:space="preserve">Recommendation: </w:t>
      </w:r>
      <w:r>
        <w:rPr>
          <w:sz w:val="20"/>
        </w:rPr>
        <w:t>Amend the disclosure to explicitly state the irrevocable settlement date for each Pathfinder SII's qualifying investment and confirm that this date is the basis for the 12-month holding period calculation.</w:t>
      </w:r>
    </w:p>
    <w:p>
      <w:pPr>
        <w:spacing w:before="0" w:after="0"/>
        <w:ind w:left="360"/>
      </w:pPr>
      <w:r>
        <w:rPr>
          <w:b/>
          <w:sz w:val="20"/>
        </w:rPr>
        <w:t xml:space="preserve">Source: </w:t>
      </w:r>
      <w:r>
        <w:rPr>
          <w:sz w:val="20"/>
        </w:rPr>
        <w:t>tier2/pathfinder_sii</w:t>
      </w:r>
    </w:p>
    <w:p>
      <w:pPr>
        <w:spacing w:before="0" w:after="0"/>
        <w:ind w:left="360"/>
      </w:pPr>
      <w:r>
        <w:rPr>
          <w:b/>
          <w:sz w:val="20"/>
        </w:rPr>
        <w:t xml:space="preserve">Page: </w:t>
      </w:r>
      <w:r>
        <w:rPr>
          <w:sz w:val="20"/>
        </w:rPr>
        <w:t>176</w:t>
      </w:r>
    </w:p>
    <w:p>
      <w:pPr>
        <w:spacing w:before="0" w:after="0"/>
        <w:ind w:left="360"/>
      </w:pPr>
      <w:r>
        <w:rPr>
          <w:b/>
          <w:sz w:val="20"/>
        </w:rPr>
        <w:t xml:space="preserve">Anchor: </w:t>
      </w:r>
      <w:r>
        <w:rPr>
          <w:sz w:val="20"/>
        </w:rPr>
        <w:t>first invested in our Company.</w:t>
      </w:r>
    </w:p>
    <w:p>
      <w:pPr>
        <w:spacing w:before="120"/>
      </w:pPr>
      <w:r>
        <w:rPr>
          <w:b/>
          <w:sz w:val="22"/>
        </w:rPr>
        <w:t>Rule G4</w:t>
      </w:r>
      <w:r>
        <w:t xml:space="preserve"> — Aggregation of Related Entities</w:t>
      </w:r>
      <w:r>
        <w:t xml:space="preserve">   </w:t>
      </w:r>
      <w:r>
        <w:rPr>
          <w:b/>
          <w:color w:val="1A7A3C"/>
        </w:rPr>
        <w:t>[clear]</w:t>
      </w:r>
    </w:p>
    <w:p>
      <w:pPr>
        <w:spacing w:before="0" w:after="0"/>
        <w:ind w:left="360"/>
      </w:pPr>
      <w:r>
        <w:rPr>
          <w:b/>
          <w:sz w:val="20"/>
        </w:rPr>
        <w:t xml:space="preserve">Analysis: </w:t>
      </w:r>
      <w:r>
        <w:rPr>
          <w:sz w:val="20"/>
        </w:rPr>
        <w:t>This rule is triggered as holdings are aggregated for Northern Light SIIs, Oceanpine SIIs, and SummitView SIIs. For each, the prospectus (tier2/pre_ipo_investment, pages 186-188) discloses the relationship between the entities (e.g., 'different funds managed by the same fund manager') and explains that the fund manager is responsible for investment decisions. This provides a sufficient basis for aggregation under para 31 of the Guide.</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186</w:t>
      </w:r>
    </w:p>
    <w:p>
      <w:pPr>
        <w:spacing w:before="0" w:after="0"/>
        <w:ind w:left="360"/>
      </w:pPr>
      <w:r>
        <w:rPr>
          <w:b/>
          <w:sz w:val="20"/>
        </w:rPr>
        <w:t xml:space="preserve">Anchor: </w:t>
      </w:r>
      <w:r>
        <w:rPr>
          <w:sz w:val="20"/>
        </w:rPr>
        <w:t>should be aggregated as one Pathfinder SII pursuant to Chapter 2.5</w:t>
      </w:r>
    </w:p>
    <w:p/>
    <w:p>
      <w:pPr>
        <w:pStyle w:val="Heading2"/>
      </w:pPr>
      <w:r>
        <w:t>Module H: Aggregate Benchmark Mechanics (Para 32)</w:t>
      </w:r>
    </w:p>
    <w:p>
      <w:pPr>
        <w:spacing w:before="120"/>
      </w:pPr>
      <w:r>
        <w:rPr>
          <w:b/>
          <w:sz w:val="22"/>
        </w:rPr>
        <w:t>Rule H1</w:t>
      </w:r>
      <w:r>
        <w:t xml:space="preserve"> — Pre-Listing and At-Listing SII Investments Combined</w:t>
      </w:r>
      <w:r>
        <w:t xml:space="preserve">   </w:t>
      </w:r>
      <w:r>
        <w:rPr>
          <w:b/>
          <w:color w:val="606060"/>
        </w:rPr>
        <w:t>[not_applicable]</w:t>
      </w:r>
    </w:p>
    <w:p>
      <w:pPr>
        <w:spacing w:before="0" w:after="0"/>
        <w:ind w:left="360"/>
      </w:pPr>
      <w:r>
        <w:rPr>
          <w:b/>
          <w:sz w:val="20"/>
        </w:rPr>
        <w:t xml:space="preserve">Analysis: </w:t>
      </w:r>
      <w:r>
        <w:rPr>
          <w:sz w:val="20"/>
        </w:rPr>
        <w:t>This rule is not triggered. A review of the Cornerstone Investors section (tier1/cornerstone_investors) and the SII disclosure (tier2/pre_ipo_investment) indicates no SIIs are receiving allocations at listing.</w:t>
      </w:r>
    </w:p>
    <w:p>
      <w:pPr>
        <w:spacing w:before="0" w:after="0"/>
        <w:ind w:left="360"/>
      </w:pPr>
      <w:r>
        <w:rPr>
          <w:b/>
          <w:sz w:val="20"/>
        </w:rPr>
        <w:t xml:space="preserve">Source: </w:t>
      </w:r>
      <w:r>
        <w:rPr>
          <w:sz w:val="20"/>
        </w:rPr>
        <w:t>tier1/cornerstone_investors</w:t>
      </w:r>
    </w:p>
    <w:p>
      <w:pPr>
        <w:spacing w:before="0" w:after="0"/>
        <w:ind w:left="360"/>
      </w:pPr>
      <w:r>
        <w:rPr>
          <w:b/>
          <w:sz w:val="20"/>
        </w:rPr>
        <w:t xml:space="preserve">Page: </w:t>
      </w:r>
      <w:r>
        <w:rPr>
          <w:sz w:val="20"/>
        </w:rPr>
        <w:t>344</w:t>
      </w:r>
    </w:p>
    <w:p>
      <w:pPr>
        <w:spacing w:before="0" w:after="0"/>
        <w:ind w:left="360"/>
      </w:pPr>
      <w:r>
        <w:rPr>
          <w:b/>
          <w:sz w:val="20"/>
        </w:rPr>
        <w:t xml:space="preserve">Anchor: </w:t>
      </w:r>
      <w:r>
        <w:rPr>
          <w:sz w:val="20"/>
        </w:rPr>
        <w:t>We have entered into cornerstone investment agreements</w:t>
      </w:r>
    </w:p>
    <w:p>
      <w:pPr>
        <w:spacing w:before="120"/>
      </w:pPr>
      <w:r>
        <w:rPr>
          <w:b/>
          <w:sz w:val="22"/>
        </w:rPr>
        <w:t>Rule H2a</w:t>
      </w:r>
      <w:r>
        <w:t xml:space="preserve"> — Applicant/OC/Sponsor Undertaking for SII Placees</w:t>
      </w:r>
      <w:r>
        <w:t xml:space="preserve">   </w:t>
      </w:r>
      <w:r>
        <w:rPr>
          <w:b/>
          <w:color w:val="606060"/>
        </w:rPr>
        <w:t>[not_applicable]</w:t>
      </w:r>
    </w:p>
    <w:p>
      <w:pPr>
        <w:spacing w:before="0" w:after="0"/>
        <w:ind w:left="360"/>
      </w:pPr>
      <w:r>
        <w:rPr>
          <w:b/>
          <w:sz w:val="20"/>
        </w:rPr>
        <w:t xml:space="preserve">Analysis: </w:t>
      </w:r>
      <w:r>
        <w:rPr>
          <w:sz w:val="20"/>
        </w:rPr>
        <w:t>This rule is not triggered as the prospectus does not disclose any reliance on the SII Placees mechanism to meet the Aggregate Investment Benchmark.</w:t>
      </w:r>
    </w:p>
    <w:p>
      <w:pPr>
        <w:spacing w:before="120"/>
      </w:pPr>
      <w:r>
        <w:rPr>
          <w:b/>
          <w:sz w:val="22"/>
        </w:rPr>
        <w:t>Rule H2b</w:t>
      </w:r>
      <w:r>
        <w:t xml:space="preserve"> — SII Placee Sophistication</w:t>
      </w:r>
      <w:r>
        <w:t xml:space="preserve">   </w:t>
      </w:r>
      <w:r>
        <w:rPr>
          <w:b/>
          <w:color w:val="606060"/>
        </w:rPr>
        <w:t>[not_applicable]</w:t>
      </w:r>
    </w:p>
    <w:p>
      <w:pPr>
        <w:spacing w:before="0" w:after="0"/>
        <w:ind w:left="360"/>
      </w:pPr>
      <w:r>
        <w:rPr>
          <w:b/>
          <w:sz w:val="20"/>
        </w:rPr>
        <w:t xml:space="preserve">Analysis: </w:t>
      </w:r>
      <w:r>
        <w:rPr>
          <w:sz w:val="20"/>
        </w:rPr>
        <w:t>This rule is not triggered as H2a is not triggered.</w:t>
      </w:r>
    </w:p>
    <w:p>
      <w:pPr>
        <w:spacing w:before="120"/>
      </w:pPr>
      <w:r>
        <w:rPr>
          <w:b/>
          <w:sz w:val="22"/>
        </w:rPr>
        <w:t>Rule H2c</w:t>
      </w:r>
      <w:r>
        <w:t xml:space="preserve"> — Advance HKEX Submission for Para 21(iv) Placees</w:t>
      </w:r>
      <w:r>
        <w:t xml:space="preserve">   </w:t>
      </w:r>
      <w:r>
        <w:rPr>
          <w:b/>
          <w:color w:val="606060"/>
        </w:rPr>
        <w:t>[not_applicable]</w:t>
      </w:r>
    </w:p>
    <w:p>
      <w:pPr>
        <w:spacing w:before="0" w:after="0"/>
        <w:ind w:left="360"/>
      </w:pPr>
      <w:r>
        <w:rPr>
          <w:b/>
          <w:sz w:val="20"/>
        </w:rPr>
        <w:t xml:space="preserve">Analysis: </w:t>
      </w:r>
      <w:r>
        <w:rPr>
          <w:sz w:val="20"/>
        </w:rPr>
        <w:t>This rule is not triggered as H2a is not triggered.</w:t>
      </w:r>
    </w:p>
    <w:p>
      <w:pPr>
        <w:spacing w:before="120"/>
      </w:pPr>
      <w:r>
        <w:rPr>
          <w:b/>
          <w:sz w:val="22"/>
        </w:rPr>
        <w:t>Rule H3</w:t>
      </w:r>
      <w:r>
        <w:t xml:space="preserve"> — Post-Listing Allotment Results Disclosure</w:t>
      </w:r>
      <w:r>
        <w:t xml:space="preserve">   </w:t>
      </w:r>
      <w:r>
        <w:rPr>
          <w:b/>
          <w:color w:val="606060"/>
        </w:rPr>
        <w:t>[not_applicable]</w:t>
      </w:r>
    </w:p>
    <w:p>
      <w:pPr>
        <w:spacing w:before="0" w:after="0"/>
        <w:ind w:left="360"/>
      </w:pPr>
      <w:r>
        <w:rPr>
          <w:b/>
          <w:sz w:val="20"/>
        </w:rPr>
        <w:t xml:space="preserve">Analysis: </w:t>
      </w:r>
      <w:r>
        <w:rPr>
          <w:sz w:val="20"/>
        </w:rPr>
        <w:t>This rule is not triggered as H2a is not triggered.</w:t>
      </w:r>
    </w:p>
    <w:p/>
    <w:p>
      <w:pPr>
        <w:pStyle w:val="Heading2"/>
      </w:pPr>
      <w:r>
        <w:t>Module I: Secondary / Dual Listings (Paras 33–34)</w:t>
      </w:r>
    </w:p>
    <w:p>
      <w:pPr>
        <w:spacing w:before="120"/>
      </w:pPr>
      <w:r>
        <w:rPr>
          <w:b/>
          <w:sz w:val="22"/>
        </w:rPr>
        <w:t>Rule I1</w:t>
      </w:r>
      <w:r>
        <w:t xml:space="preserve"> — Non-Standard Compliance Disclosure</w:t>
      </w:r>
      <w:r>
        <w:t xml:space="preserve">   </w:t>
      </w:r>
      <w:r>
        <w:rPr>
          <w:b/>
          <w:color w:val="606060"/>
        </w:rPr>
        <w:t>[not_applicable]</w:t>
      </w:r>
    </w:p>
    <w:p>
      <w:pPr>
        <w:spacing w:before="0" w:after="0"/>
        <w:ind w:left="360"/>
      </w:pPr>
      <w:r>
        <w:rPr>
          <w:b/>
          <w:sz w:val="20"/>
        </w:rPr>
        <w:t xml:space="preserve">Analysis: </w:t>
      </w:r>
      <w:r>
        <w:rPr>
          <w:sz w:val="20"/>
        </w:rPr>
        <w:t>This rule is not triggered. A review of the 'History and Corporate Structure' chapter (tier2/history_of_group) indicates that the Company is seeking a primary listing and is not already listed on a recognised overseas stock exchange.</w:t>
      </w:r>
    </w:p>
    <w:p>
      <w:pPr>
        <w:spacing w:before="0" w:after="0"/>
        <w:ind w:left="360"/>
      </w:pPr>
      <w:r>
        <w:rPr>
          <w:b/>
          <w:sz w:val="20"/>
        </w:rPr>
        <w:t xml:space="preserve">Source: </w:t>
      </w:r>
      <w:r>
        <w:rPr>
          <w:sz w:val="20"/>
        </w:rPr>
        <w:t>tier2/history_of_group</w:t>
      </w:r>
    </w:p>
    <w:p>
      <w:pPr>
        <w:spacing w:before="0" w:after="0"/>
        <w:ind w:left="360"/>
      </w:pPr>
      <w:r>
        <w:rPr>
          <w:b/>
          <w:sz w:val="20"/>
        </w:rPr>
        <w:t xml:space="preserve">Page: </w:t>
      </w:r>
      <w:r>
        <w:rPr>
          <w:sz w:val="20"/>
        </w:rPr>
        <w:t>176</w:t>
      </w:r>
    </w:p>
    <w:p>
      <w:pPr>
        <w:spacing w:before="0" w:after="0"/>
        <w:ind w:left="360"/>
      </w:pPr>
      <w:r>
        <w:rPr>
          <w:b/>
          <w:sz w:val="20"/>
        </w:rPr>
        <w:t xml:space="preserve">Anchor: </w:t>
      </w:r>
      <w:r>
        <w:rPr>
          <w:sz w:val="20"/>
        </w:rPr>
        <w:t>Our Company was incorporated as an exempted company with limited liability</w:t>
      </w:r>
    </w:p>
    <w:p/>
    <w:p>
      <w:pPr>
        <w:pStyle w:val="Heading1"/>
      </w:pPr>
      <w:r>
        <w:t>Reasoning Flags</w:t>
      </w:r>
    </w:p>
    <w:p>
      <w:r>
        <w:rPr>
          <w:b/>
          <w:color w:val="E67E00"/>
        </w:rPr>
        <w:t>[High]</w:t>
      </w:r>
    </w:p>
    <w:p>
      <w:pPr>
        <w:spacing w:before="0" w:after="0"/>
        <w:ind w:left="360"/>
      </w:pPr>
      <w:r>
        <w:rPr>
          <w:b/>
          <w:sz w:val="20"/>
        </w:rPr>
        <w:t xml:space="preserve">Recommendation: </w:t>
      </w:r>
      <w:r>
        <w:rPr>
          <w:sz w:val="20"/>
        </w:rPr>
        <w:t>Verify the correct shareholding percentage for the Xiaomi SII (Shanghai Ziyue) and amend the prospectus to ensure the figure is consistent between the narrative description and the capitalization table.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