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Prospectus Analysis — Black Sesame International Holding Limited</w:t>
      </w:r>
    </w:p>
    <w:p>
      <w:pPr>
        <w:jc w:val="center"/>
      </w:pPr>
      <w:r>
        <w:rPr>
          <w:color w:val="606060"/>
        </w:rPr>
        <w:t>Analysis date: 2024-07-31</w:t>
      </w:r>
    </w:p>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rules evaluated</w:t>
            </w:r>
          </w:p>
        </w:tc>
        <w:tc>
          <w:tcPr>
            <w:tcW w:type="dxa" w:w="4320"/>
          </w:tcPr>
          <w:p>
            <w:r>
              <w:t>29</w:t>
            </w:r>
          </w:p>
        </w:tc>
      </w:tr>
      <w:tr>
        <w:tc>
          <w:tcPr>
            <w:tcW w:type="dxa" w:w="4320"/>
          </w:tcPr>
          <w:p>
            <w:r>
              <w:t>Rules clear</w:t>
            </w:r>
          </w:p>
        </w:tc>
        <w:tc>
          <w:tcPr>
            <w:tcW w:type="dxa" w:w="4320"/>
          </w:tcPr>
          <w:p>
            <w:r>
              <w:t>16</w:t>
            </w:r>
          </w:p>
        </w:tc>
      </w:tr>
      <w:tr>
        <w:tc>
          <w:tcPr>
            <w:tcW w:type="dxa" w:w="4320"/>
          </w:tcPr>
          <w:p>
            <w:r>
              <w:t>Rules with issues</w:t>
            </w:r>
          </w:p>
        </w:tc>
        <w:tc>
          <w:tcPr>
            <w:tcW w:type="dxa" w:w="4320"/>
          </w:tcPr>
          <w:p>
            <w:r>
              <w:t>13</w:t>
            </w:r>
          </w:p>
        </w:tc>
      </w:tr>
      <w:tr>
        <w:tc>
          <w:tcPr>
            <w:tcW w:type="dxa" w:w="4320"/>
          </w:tcPr>
          <w:p>
            <w:r>
              <w:t>Not Applicable</w:t>
            </w:r>
          </w:p>
        </w:tc>
        <w:tc>
          <w:tcPr>
            <w:tcW w:type="dxa" w:w="4320"/>
          </w:tcPr>
          <w:p>
            <w:r>
              <w:t>10</w:t>
            </w:r>
          </w:p>
        </w:tc>
      </w:tr>
      <w:tr>
        <w:tc>
          <w:tcPr>
            <w:tcW w:type="dxa" w:w="4320"/>
          </w:tcPr>
          <w:p>
            <w:r>
              <w:t>Reasoning flags</w:t>
            </w:r>
          </w:p>
        </w:tc>
        <w:tc>
          <w:tcPr>
            <w:tcW w:type="dxa" w:w="4320"/>
          </w:tcPr>
          <w:p>
            <w:r>
              <w:t>2</w:t>
            </w:r>
          </w:p>
        </w:tc>
      </w:tr>
      <w:tr>
        <w:tc>
          <w:tcPr>
            <w:tcW w:type="dxa" w:w="4320"/>
          </w:tcPr>
          <w:p>
            <w:r>
              <w:t xml:space="preserve">  Critical findings</w:t>
            </w:r>
          </w:p>
        </w:tc>
        <w:tc>
          <w:tcPr>
            <w:tcW w:type="dxa" w:w="4320"/>
          </w:tcPr>
          <w:p>
            <w:r>
              <w:t>11</w:t>
            </w:r>
          </w:p>
        </w:tc>
      </w:tr>
      <w:tr>
        <w:tc>
          <w:tcPr>
            <w:tcW w:type="dxa" w:w="4320"/>
          </w:tcPr>
          <w:p>
            <w:r>
              <w:t xml:space="preserve">  High findings</w:t>
            </w:r>
          </w:p>
        </w:tc>
        <w:tc>
          <w:tcPr>
            <w:tcW w:type="dxa" w:w="4320"/>
          </w:tcPr>
          <w:p>
            <w:r>
              <w:t>3</w:t>
            </w:r>
          </w:p>
        </w:tc>
      </w:tr>
      <w:tr>
        <w:tc>
          <w:tcPr>
            <w:tcW w:type="dxa" w:w="4320"/>
          </w:tcPr>
          <w:p>
            <w:r>
              <w:t xml:space="preserve">  Medium findings</w:t>
            </w:r>
          </w:p>
        </w:tc>
        <w:tc>
          <w:tcPr>
            <w:tcW w:type="dxa" w:w="4320"/>
          </w:tcPr>
          <w:p>
            <w:r>
              <w:t>2</w:t>
            </w:r>
          </w:p>
        </w:tc>
      </w:tr>
    </w:tbl>
    <w:p/>
    <w:p>
      <w:pPr>
        <w:pStyle w:val="Heading1"/>
      </w:pPr>
      <w:r>
        <w:t>Modules &amp; Rules</w:t>
      </w:r>
    </w:p>
    <w:p>
      <w:pPr>
        <w:pStyle w:val="Heading2"/>
      </w:pPr>
      <w:r>
        <w:t>Module 0: Pre-Conditions and Company Classification</w:t>
      </w:r>
    </w:p>
    <w:p>
      <w:pPr>
        <w:spacing w:before="120"/>
      </w:pPr>
      <w:r>
        <w:rPr>
          <w:b/>
          <w:sz w:val="22"/>
        </w:rPr>
        <w:t>Rule P1</w:t>
      </w:r>
      <w:r>
        <w:t xml:space="preserve"> — Specialist Technology Company Status</w:t>
      </w:r>
      <w:r>
        <w:t xml:space="preserve">   </w:t>
      </w:r>
      <w:r>
        <w:rPr>
          <w:b/>
          <w:color w:val="1A7A3C"/>
        </w:rPr>
        <w:t>[clear]</w:t>
      </w:r>
    </w:p>
    <w:p>
      <w:pPr>
        <w:spacing w:before="0" w:after="0"/>
        <w:ind w:left="360"/>
      </w:pPr>
      <w:r>
        <w:rPr>
          <w:b/>
          <w:sz w:val="20"/>
        </w:rPr>
        <w:t xml:space="preserve">Analysis: </w:t>
      </w:r>
      <w:r>
        <w:rPr>
          <w:sz w:val="20"/>
        </w:rPr>
        <w:t>The prospectus identifies the applicant's business as falling within the Specialist Technology Industry of 'Advanced hardware and software' and the acceptable sectors of 'Semiconductors' and 'Electric and autonomous vehicles', per Guide para 2. This classification is supported by the business description in tier1/business, page 232, which details the design of automotive-grade computing SoCs. The classification is consistent across the document.</w:t>
      </w:r>
    </w:p>
    <w:p>
      <w:pPr>
        <w:spacing w:before="0" w:after="0"/>
        <w:ind w:left="360"/>
      </w:pPr>
      <w:r>
        <w:rPr>
          <w:b/>
          <w:sz w:val="20"/>
        </w:rPr>
        <w:t xml:space="preserve">Source: </w:t>
      </w:r>
      <w:r>
        <w:rPr>
          <w:sz w:val="20"/>
        </w:rPr>
        <w:t>tier1/business</w:t>
      </w:r>
    </w:p>
    <w:p>
      <w:pPr>
        <w:spacing w:before="0" w:after="0"/>
        <w:ind w:left="360"/>
      </w:pPr>
      <w:r>
        <w:rPr>
          <w:b/>
          <w:sz w:val="20"/>
        </w:rPr>
        <w:t xml:space="preserve">Page: </w:t>
      </w:r>
      <w:r>
        <w:rPr>
          <w:sz w:val="20"/>
        </w:rPr>
        <w:t>232</w:t>
      </w:r>
    </w:p>
    <w:p>
      <w:pPr>
        <w:spacing w:before="0" w:after="0"/>
        <w:ind w:left="360"/>
      </w:pPr>
      <w:r>
        <w:rPr>
          <w:b/>
          <w:sz w:val="20"/>
        </w:rPr>
        <w:t xml:space="preserve">Anchor: </w:t>
      </w:r>
      <w:r>
        <w:rPr>
          <w:sz w:val="20"/>
        </w:rPr>
        <w:t>The semiconductors designed by us are computing SoCs for</w:t>
      </w:r>
    </w:p>
    <w:p>
      <w:pPr>
        <w:spacing w:before="120"/>
      </w:pPr>
      <w:r>
        <w:rPr>
          <w:b/>
          <w:sz w:val="22"/>
        </w:rPr>
        <w:t>Rule P2</w:t>
      </w:r>
      <w:r>
        <w:t xml:space="preserve"> — Commercial or Pre-Commercial Classification</w:t>
      </w:r>
      <w:r>
        <w:t xml:space="preserve">   </w:t>
      </w:r>
      <w:r>
        <w:rPr>
          <w:b/>
          <w:color w:val="1A7A3C"/>
        </w:rPr>
        <w:t>[clear]</w:t>
      </w:r>
    </w:p>
    <w:p>
      <w:pPr>
        <w:spacing w:before="0" w:after="0"/>
        <w:ind w:left="360"/>
      </w:pPr>
      <w:r>
        <w:rPr>
          <w:b/>
          <w:sz w:val="20"/>
        </w:rPr>
        <w:t xml:space="preserve">Analysis: </w:t>
      </w:r>
      <w:r>
        <w:rPr>
          <w:sz w:val="20"/>
        </w:rPr>
        <w:t>The prospectus explicitly states the applicant is a Commercial Company in tier1/information_about_this_prospectus_and_the_global_offering, page 125. The audited revenue for the most recent full financial year (2023) is disclosed as RMB 312.4 million in tier1/financial_information, page 248. This figure (approx. HK$342.1m) exceeds the PARAM_COMM_REV_MIN threshold of HK$250m, correctly classifying the company as Commercial per MB Rule 18C.03(4).</w:t>
      </w:r>
    </w:p>
    <w:p>
      <w:pPr>
        <w:spacing w:before="0" w:after="0"/>
        <w:ind w:left="360"/>
      </w:pPr>
      <w:r>
        <w:rPr>
          <w:b/>
          <w:sz w:val="20"/>
        </w:rPr>
        <w:t xml:space="preserve">Source: </w:t>
      </w:r>
      <w:r>
        <w:rPr>
          <w:sz w:val="20"/>
        </w:rPr>
        <w:t>tier1/information_about_this_prospectus_and_the_global_offering</w:t>
      </w:r>
    </w:p>
    <w:p>
      <w:pPr>
        <w:spacing w:before="0" w:after="0"/>
        <w:ind w:left="360"/>
      </w:pPr>
      <w:r>
        <w:rPr>
          <w:b/>
          <w:sz w:val="20"/>
        </w:rPr>
        <w:t xml:space="preserve">Page: </w:t>
      </w:r>
      <w:r>
        <w:rPr>
          <w:sz w:val="20"/>
        </w:rPr>
        <w:t>125</w:t>
      </w:r>
    </w:p>
    <w:p>
      <w:pPr>
        <w:spacing w:before="0" w:after="0"/>
        <w:ind w:left="360"/>
      </w:pPr>
      <w:r>
        <w:rPr>
          <w:b/>
          <w:sz w:val="20"/>
        </w:rPr>
        <w:t xml:space="preserve">Anchor: </w:t>
      </w:r>
      <w:r>
        <w:rPr>
          <w:sz w:val="20"/>
        </w:rPr>
        <w:t>we satisfy the requirements under Rule 18C.03 of the</w:t>
      </w:r>
    </w:p>
    <w:p>
      <w:pPr>
        <w:spacing w:before="120"/>
      </w:pPr>
      <w:r>
        <w:rPr>
          <w:b/>
          <w:sz w:val="22"/>
        </w:rPr>
        <w:t>Rule P3</w:t>
      </w:r>
      <w:r>
        <w:t xml:space="preserve"> — Market Capitalisation Tier</w:t>
      </w:r>
      <w:r>
        <w:t xml:space="preserve">   </w:t>
      </w:r>
      <w:r>
        <w:rPr>
          <w:b/>
          <w:color w:val="1A7A3C"/>
        </w:rPr>
        <w:t>[clear]</w:t>
      </w:r>
    </w:p>
    <w:p>
      <w:pPr>
        <w:spacing w:before="0" w:after="0"/>
        <w:ind w:left="360"/>
      </w:pPr>
      <w:r>
        <w:rPr>
          <w:b/>
          <w:sz w:val="20"/>
        </w:rPr>
        <w:t xml:space="preserve">Analysis: </w:t>
      </w:r>
      <w:r>
        <w:rPr>
          <w:sz w:val="20"/>
        </w:rPr>
        <w:t>The prospectus discloses an expected market capitalisation. Tier2/pre_ipo_investment, page 195, states an assumption that the "expected market capitalization at the time of Listing will exceed HK$15 billion." This places the applicant in the 'HK$15-30bn' tier for the purpose of determining the aggregate SII threshold under para 26(ii) of the Guide, which is consistent with the 15% threshold applied in the same section.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w:t>
      </w:r>
    </w:p>
    <w:p/>
    <w:p>
      <w:pPr>
        <w:pStyle w:val="Heading2"/>
      </w:pPr>
      <w:r>
        <w:t>Module A: Independence of Sophisticated Investors (Paras 17–19)</w:t>
      </w:r>
    </w:p>
    <w:p>
      <w:pPr>
        <w:spacing w:before="120"/>
      </w:pPr>
      <w:r>
        <w:rPr>
          <w:b/>
          <w:sz w:val="22"/>
        </w:rPr>
        <w:t>Rule A1</w:t>
      </w:r>
      <w:r>
        <w:t xml:space="preserve"> — Date of Independence Assessment</w:t>
      </w:r>
      <w:r>
        <w:t xml:space="preserve">   </w:t>
      </w:r>
      <w:r>
        <w:rPr>
          <w:b/>
          <w:color w:val="E67E00"/>
        </w:rPr>
        <w:t>[has_issues]</w:t>
      </w:r>
    </w:p>
    <w:p>
      <w:pPr>
        <w:spacing w:before="0" w:after="0"/>
        <w:ind w:left="360"/>
      </w:pPr>
      <w:r>
        <w:rPr>
          <w:b/>
          <w:sz w:val="20"/>
        </w:rPr>
        <w:t xml:space="preserve">Analysis: </w:t>
      </w:r>
      <w:r>
        <w:rPr>
          <w:sz w:val="20"/>
        </w:rPr>
        <w:t>The prospectus makes a general statement about SII independence but fails to disclose the specific definitive agreement date for each SII as required by para 17 of the Guide. This prevents verification of the timing of the independence assessment.</w:t>
      </w:r>
    </w:p>
    <w:p>
      <w:pPr>
        <w:ind w:left="360"/>
      </w:pPr>
      <w:r>
        <w:rPr>
          <w:b/>
          <w:sz w:val="20"/>
        </w:rPr>
        <w:t>Finding 1: Disclosure [Critical / Absent]</w:t>
      </w:r>
    </w:p>
    <w:p>
      <w:pPr>
        <w:spacing w:before="0" w:after="0"/>
        <w:ind w:left="360"/>
      </w:pPr>
      <w:r>
        <w:rPr>
          <w:b/>
          <w:sz w:val="20"/>
        </w:rPr>
        <w:t xml:space="preserve">Explanation: </w:t>
      </w:r>
      <w:r>
        <w:rPr>
          <w:sz w:val="20"/>
        </w:rPr>
        <w:t>Per para 17 of the Guide, independence is determined as at the date of signing of the definitive agreement. The prospectus does not disclose the specific definitive agreement date for each individual Sophisticated Independent Investor (SII). Instead, a generic footnote on page 191 of tier2/pre_ipo_investment links reference dates to a period 'prior to the date on which the relevant investor signed the relevant definitive agreement', which is insufficient for verification.</w:t>
      </w:r>
    </w:p>
    <w:p>
      <w:pPr>
        <w:spacing w:before="0" w:after="0"/>
        <w:ind w:left="360"/>
      </w:pPr>
      <w:r>
        <w:rPr>
          <w:b/>
          <w:sz w:val="20"/>
        </w:rPr>
        <w:t xml:space="preserve">Recommendation: </w:t>
      </w:r>
      <w:r>
        <w:rPr>
          <w:sz w:val="20"/>
        </w:rPr>
        <w:t>Disclose the specific calendar date of the definitive investment agreement for each SII to anchor the independence assessment as required by Rule A1.</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prior to the date on which the relevant investor</w:t>
      </w:r>
    </w:p>
    <w:p>
      <w:pPr>
        <w:ind w:left="360"/>
      </w:pPr>
      <w:r>
        <w:rPr>
          <w:b/>
          <w:sz w:val="20"/>
        </w:rPr>
        <w:t>Finding 2: Language [Critical / Insufficient]</w:t>
      </w:r>
    </w:p>
    <w:p>
      <w:pPr>
        <w:spacing w:before="0" w:after="0"/>
        <w:ind w:left="360"/>
      </w:pPr>
      <w:r>
        <w:rPr>
          <w:b/>
          <w:sz w:val="20"/>
        </w:rPr>
        <w:t xml:space="preserve">Explanation: </w:t>
      </w:r>
      <w:r>
        <w:rPr>
          <w:sz w:val="20"/>
        </w:rPr>
        <w:t>The prospectus makes a single generic statement on page 186 of tier2/pre_ipo_investment that 'each of our Sophisticated Independent Investors is independent'. Per para 17 of the Guide, independence must be stated and assessed per SII. A blanket statement covering all SIIs is not sufficiently specific.</w:t>
      </w:r>
    </w:p>
    <w:p>
      <w:pPr>
        <w:spacing w:before="0" w:after="0"/>
        <w:ind w:left="360"/>
      </w:pPr>
      <w:r>
        <w:rPr>
          <w:b/>
          <w:sz w:val="20"/>
        </w:rPr>
        <w:t xml:space="preserve">Recommendation: </w:t>
      </w:r>
      <w:r>
        <w:rPr>
          <w:sz w:val="20"/>
        </w:rPr>
        <w:t>Provide a distinct confirmation of independence for each SII, stating that it was independent as at the definitive agreement date and has been maintained up to listing.</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w:t>
      </w:r>
    </w:p>
    <w:p>
      <w:pPr>
        <w:spacing w:before="120"/>
      </w:pPr>
      <w:r>
        <w:rPr>
          <w:b/>
          <w:sz w:val="22"/>
        </w:rPr>
        <w:t>Rule A2</w:t>
      </w:r>
      <w:r>
        <w:t xml:space="preserve"> — Core Connected Persons Excluded</w:t>
      </w:r>
      <w:r>
        <w:t xml:space="preserve">   </w:t>
      </w:r>
      <w:r>
        <w:rPr>
          <w:b/>
          <w:color w:val="E67E00"/>
        </w:rPr>
        <w:t>[has_issues]</w:t>
      </w:r>
    </w:p>
    <w:p>
      <w:pPr>
        <w:spacing w:before="0" w:after="0"/>
        <w:ind w:left="360"/>
      </w:pPr>
      <w:r>
        <w:rPr>
          <w:b/>
          <w:sz w:val="20"/>
        </w:rPr>
        <w:t xml:space="preserve">Analysis: </w:t>
      </w:r>
      <w:r>
        <w:rPr>
          <w:sz w:val="20"/>
        </w:rPr>
        <w:t>The prospectus states that SIIs are not connected persons. However, it also discloses that a non-executive Director, Dr. YANG Lei, was a partner at Northern Light Venture Capital, the manager of a Pathfinder SII. While he left before the first listing application, this prior relationship is not sufficiently addressed in the independence analysis, creating ambiguity regarding core connected person status under para 18(i).</w:t>
      </w:r>
    </w:p>
    <w:p>
      <w:pPr>
        <w:ind w:left="360"/>
      </w:pPr>
      <w:r>
        <w:rPr>
          <w:b/>
          <w:sz w:val="20"/>
        </w:rPr>
        <w:t>Finding 1: Disclosure [Critical / Insufficient]</w:t>
      </w:r>
    </w:p>
    <w:p>
      <w:pPr>
        <w:spacing w:before="0" w:after="0"/>
        <w:ind w:left="360"/>
      </w:pPr>
      <w:r>
        <w:rPr>
          <w:b/>
          <w:sz w:val="20"/>
        </w:rPr>
        <w:t xml:space="preserve">Explanation: </w:t>
      </w:r>
      <w:r>
        <w:rPr>
          <w:sz w:val="20"/>
        </w:rPr>
        <w:t>Tier2/pre_ipo_investment, page 186, discloses that Dr. YANG Lei, a non-executive Director, was a partner at Northern Light Venture Capital (manager of a Pathfinder SII) until October 2021. While a general independence statement is made, the prospectus does not provide a specific analysis to explain why this prior relationship does not affect the independence of the Northern Light SIIs or create a core connected person issue under para 18(i) of the Guide.</w:t>
      </w:r>
    </w:p>
    <w:p>
      <w:pPr>
        <w:spacing w:before="0" w:after="0"/>
        <w:ind w:left="360"/>
      </w:pPr>
      <w:r>
        <w:rPr>
          <w:b/>
          <w:sz w:val="20"/>
        </w:rPr>
        <w:t xml:space="preserve">Recommendation: </w:t>
      </w:r>
      <w:r>
        <w:rPr>
          <w:sz w:val="20"/>
        </w:rPr>
        <w:t>Provide a detailed explanation addressing the prior relationship between Director Dr. YANG Lei and Pathfinder SII Northern Light Venture Capital, and affirmatively state the basis for concluding that this does not compromise independence or create a core connected person relationship.</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w:t>
      </w:r>
    </w:p>
    <w:p>
      <w:pPr>
        <w:spacing w:before="120"/>
      </w:pPr>
      <w:r>
        <w:rPr>
          <w:b/>
          <w:sz w:val="22"/>
        </w:rPr>
        <w:t>Rule A3</w:t>
      </w:r>
      <w:r>
        <w:t xml:space="preserve"> — Controlling Shareholders Excluded</w:t>
      </w:r>
      <w:r>
        <w:t xml:space="preserve">   </w:t>
      </w:r>
      <w:r>
        <w:rPr>
          <w:b/>
          <w:color w:val="1A7A3C"/>
        </w:rPr>
        <w:t>[clear]</w:t>
      </w:r>
    </w:p>
    <w:p>
      <w:pPr>
        <w:spacing w:before="0" w:after="0"/>
        <w:ind w:left="360"/>
      </w:pPr>
      <w:r>
        <w:rPr>
          <w:b/>
          <w:sz w:val="20"/>
        </w:rPr>
        <w:t xml:space="preserve">Analysis: </w:t>
      </w:r>
      <w:r>
        <w:rPr>
          <w:sz w:val="20"/>
        </w:rPr>
        <w:t>The prospectus states on page 330 of tier1/cap_table that upon listing, the Company will not have a controlling shareholder as defined under the Listing Rules, but will have a Single Largest Shareholder (Mr. Shan). The general independence statement on page 186 of tier2/pre_ipo_investment confirms SIIs are not connected with substantial shareholders. Cross-referencing confirms no overlap between the SII list and Mr. Shan or his associates.</w:t>
      </w:r>
    </w:p>
    <w:p>
      <w:pPr>
        <w:spacing w:before="0" w:after="0"/>
        <w:ind w:left="360"/>
      </w:pPr>
      <w:r>
        <w:rPr>
          <w:b/>
          <w:sz w:val="20"/>
        </w:rPr>
        <w:t xml:space="preserve">Source: </w:t>
      </w:r>
      <w:r>
        <w:rPr>
          <w:sz w:val="20"/>
        </w:rPr>
        <w:t>tier1/cap_table</w:t>
      </w:r>
    </w:p>
    <w:p>
      <w:pPr>
        <w:spacing w:before="0" w:after="0"/>
        <w:ind w:left="360"/>
      </w:pPr>
      <w:r>
        <w:rPr>
          <w:b/>
          <w:sz w:val="20"/>
        </w:rPr>
        <w:t xml:space="preserve">Page: </w:t>
      </w:r>
      <w:r>
        <w:rPr>
          <w:sz w:val="20"/>
        </w:rPr>
        <w:t>330</w:t>
      </w:r>
    </w:p>
    <w:p>
      <w:pPr>
        <w:spacing w:before="0" w:after="0"/>
        <w:ind w:left="360"/>
      </w:pPr>
      <w:r>
        <w:rPr>
          <w:b/>
          <w:sz w:val="20"/>
        </w:rPr>
        <w:t xml:space="preserve">Anchor: </w:t>
      </w:r>
      <w:r>
        <w:rPr>
          <w:sz w:val="20"/>
        </w:rPr>
        <w:t>our Company will not have any controlling shareholders as</w:t>
      </w:r>
    </w:p>
    <w:p>
      <w:pPr>
        <w:spacing w:before="120"/>
      </w:pPr>
      <w:r>
        <w:rPr>
          <w:b/>
          <w:sz w:val="22"/>
        </w:rPr>
        <w:t>Rule A4</w:t>
      </w:r>
      <w:r>
        <w:t xml:space="preserve"> — Founder and Close Associates Excluded</w:t>
      </w:r>
      <w:r>
        <w:t xml:space="preserve">   </w:t>
      </w:r>
      <w:r>
        <w:rPr>
          <w:b/>
          <w:color w:val="1A7A3C"/>
        </w:rPr>
        <w:t>[clear]</w:t>
      </w:r>
    </w:p>
    <w:p>
      <w:pPr>
        <w:spacing w:before="0" w:after="0"/>
        <w:ind w:left="360"/>
      </w:pPr>
      <w:r>
        <w:rPr>
          <w:b/>
          <w:sz w:val="20"/>
        </w:rPr>
        <w:t xml:space="preserve">Analysis: </w:t>
      </w:r>
      <w:r>
        <w:rPr>
          <w:sz w:val="20"/>
        </w:rPr>
        <w:t>The founders are identified as Mr. Shan and Mr. Liu. The general independence statement on page 186 of tier2/pre_ipo_investment covers their exclusion from being SIIs. A cross-reference of the SII list against the founders and their close associates (as disclosed in the prospectus) shows no overlap, satisfying para 18(iii)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w:t>
      </w:r>
    </w:p>
    <w:p>
      <w:pPr>
        <w:spacing w:before="120"/>
      </w:pPr>
      <w:r>
        <w:rPr>
          <w:b/>
          <w:sz w:val="22"/>
        </w:rPr>
        <w:t>Rule A5</w:t>
      </w:r>
      <w:r>
        <w:t xml:space="preserve"> — Acting-in-Concert and Prior Business Relationships</w:t>
      </w:r>
      <w:r>
        <w:t xml:space="preserve">   </w:t>
      </w:r>
      <w:r>
        <w:rPr>
          <w:b/>
          <w:color w:val="E67E00"/>
        </w:rPr>
        <w:t>[has_issues]</w:t>
      </w:r>
    </w:p>
    <w:p>
      <w:pPr>
        <w:spacing w:before="0" w:after="0"/>
        <w:ind w:left="360"/>
      </w:pPr>
      <w:r>
        <w:rPr>
          <w:b/>
          <w:sz w:val="20"/>
        </w:rPr>
        <w:t xml:space="preserve">Analysis: </w:t>
      </w:r>
      <w:r>
        <w:rPr>
          <w:sz w:val="20"/>
        </w:rPr>
        <w:t>The prospectus discloses prior business relationships with Geely SII and SAIC Motor SII, triggering the disclosure requirements of para 19 of the Guide. However, the disclosure is limited to how the acquaintance was made and lacks the required details on timing, operational involvement, and commercial terms to allow an assessment of the impact on independence.</w:t>
      </w:r>
    </w:p>
    <w:p>
      <w:pPr>
        <w:ind w:left="360"/>
      </w:pPr>
      <w:r>
        <w:rPr>
          <w:b/>
          <w:sz w:val="20"/>
        </w:rPr>
        <w:t>Finding 1: Disclosure [High / Insufficient]</w:t>
      </w:r>
    </w:p>
    <w:p>
      <w:pPr>
        <w:spacing w:before="0" w:after="0"/>
        <w:ind w:left="360"/>
      </w:pPr>
      <w:r>
        <w:rPr>
          <w:b/>
          <w:sz w:val="20"/>
        </w:rPr>
        <w:t xml:space="preserve">Explanation: </w:t>
      </w:r>
      <w:r>
        <w:rPr>
          <w:sz w:val="20"/>
        </w:rPr>
        <w:t>Per para 19 of the Guide, prior business relationships with SIIs require disclosure of mitigating factors. Page 191 of tier2/pre_ipo_investment states the Group became acquainted with Geely SII and SAIC Motor SII 'through discussions on business cooperations' and mentions strategic cooperation agreements. However, it fails to disclose the required details of (i) timing and duration, (ii) nature of operational involvement, and (iii) commercial terms of these relationships, which are necessary to assess independence.</w:t>
      </w:r>
    </w:p>
    <w:p>
      <w:pPr>
        <w:spacing w:before="0" w:after="0"/>
        <w:ind w:left="360"/>
      </w:pPr>
      <w:r>
        <w:rPr>
          <w:b/>
          <w:sz w:val="20"/>
        </w:rPr>
        <w:t xml:space="preserve">Recommendation: </w:t>
      </w:r>
      <w:r>
        <w:rPr>
          <w:sz w:val="20"/>
        </w:rPr>
        <w:t>For Geely SII and SAIC Motor SII, disclose the specific timing, duration, operational involvement, and commercial terms of the business relationships to satisfy the requirements of Rule A5 and para 19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acquainted with Geely SII through discussions on business cooperations.</w:t>
      </w:r>
    </w:p>
    <w:p>
      <w:pPr>
        <w:spacing w:before="120"/>
      </w:pPr>
      <w:r>
        <w:rPr>
          <w:b/>
          <w:sz w:val="22"/>
        </w:rPr>
        <w:t>Rule A6</w:t>
      </w:r>
      <w:r>
        <w:t xml:space="preserve"> — Board Representation by SII</w:t>
      </w:r>
      <w:r>
        <w:t xml:space="preserve">   </w:t>
      </w:r>
      <w:r>
        <w:rPr>
          <w:b/>
          <w:color w:val="606060"/>
        </w:rPr>
        <w:t>[not_applicable]</w:t>
      </w:r>
    </w:p>
    <w:p>
      <w:pPr>
        <w:spacing w:before="0" w:after="0"/>
        <w:ind w:left="360"/>
      </w:pPr>
      <w:r>
        <w:rPr>
          <w:b/>
          <w:sz w:val="20"/>
        </w:rPr>
        <w:t xml:space="preserve">Analysis: </w:t>
      </w:r>
      <w:r>
        <w:rPr>
          <w:sz w:val="20"/>
        </w:rPr>
        <w:t>This rule is not triggered. A review of tier2/pre_ipo_investment and tier1/directors_mgmt did not identify any disclosure indicating that any current SII holds or is entitled to nominate a representative to the applicant's board of directors. The past association of a Director with an SII's manager does not constitute current board representation by the SII.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w:t>
      </w:r>
    </w:p>
    <w:p/>
    <w:p>
      <w:pPr>
        <w:pStyle w:val="Heading2"/>
      </w:pPr>
      <w:r>
        <w:t>Module B: Sophistication of Investors (Paras 20–24)</w:t>
      </w:r>
    </w:p>
    <w:p>
      <w:pPr>
        <w:spacing w:before="120"/>
      </w:pPr>
      <w:r>
        <w:rPr>
          <w:b/>
          <w:sz w:val="22"/>
        </w:rPr>
        <w:t>Rule B1</w:t>
      </w:r>
      <w:r>
        <w:t xml:space="preserve"> — Sophistication Requirement Generally</w:t>
      </w:r>
      <w:r>
        <w:t xml:space="preserve">   </w:t>
      </w:r>
      <w:r>
        <w:rPr>
          <w:b/>
          <w:color w:val="1A7A3C"/>
        </w:rPr>
        <w:t>[clear]</w:t>
      </w:r>
    </w:p>
    <w:p>
      <w:pPr>
        <w:spacing w:before="0" w:after="0"/>
        <w:ind w:left="360"/>
      </w:pPr>
      <w:r>
        <w:rPr>
          <w:b/>
          <w:sz w:val="20"/>
        </w:rPr>
        <w:t xml:space="preserve">Analysis: </w:t>
      </w:r>
      <w:r>
        <w:rPr>
          <w:sz w:val="20"/>
        </w:rPr>
        <w:t>The prospectus provides a distinct sophistication analysis for each of the nine SIIs in tier2/pre_ipo_investment (pages 186-191). For each SII, it identifies the basis for sophistication under para 21 of the Guide (e.g., AUM, portfolio size, key market participant) and provides supporting details, satisfying the general requirement of para 20.</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Information relating to our key Pre-IPO Investors</w:t>
      </w:r>
    </w:p>
    <w:p>
      <w:pPr>
        <w:spacing w:before="120"/>
      </w:pPr>
      <w:r>
        <w:rPr>
          <w:b/>
          <w:sz w:val="22"/>
        </w:rPr>
        <w:t>Rule B2</w:t>
      </w:r>
      <w:r>
        <w:t xml:space="preserve"> — Asset Management / Fund Threshold</w:t>
      </w:r>
      <w:r>
        <w:t xml:space="preserve">   </w:t>
      </w:r>
      <w:r>
        <w:rPr>
          <w:b/>
          <w:color w:val="E67E00"/>
        </w:rPr>
        <w:t>[has_issues]</w:t>
      </w:r>
    </w:p>
    <w:p>
      <w:pPr>
        <w:spacing w:before="0" w:after="0"/>
        <w:ind w:left="360"/>
      </w:pPr>
      <w:r>
        <w:rPr>
          <w:b/>
          <w:sz w:val="20"/>
        </w:rPr>
        <w:t xml:space="preserve">Analysis: </w:t>
      </w:r>
      <w:r>
        <w:rPr>
          <w:sz w:val="20"/>
        </w:rPr>
        <w:t>The sophistication claims for Northern Light, BOCGI, and Future Industry Fund rely on the AUM of their respective managers. While the disclosed AUM figures meet the HK$15bn threshold, the use of vague language like 'approximately' is a language issue. More critically, the basis of determination for these AUM figures is not disclosed as required.</w:t>
      </w:r>
    </w:p>
    <w:p>
      <w:pPr>
        <w:ind w:left="360"/>
      </w:pPr>
      <w:r>
        <w:rPr>
          <w:b/>
          <w:sz w:val="20"/>
        </w:rPr>
        <w:t>Finding 1: Disclosure [Critical / Absent]</w:t>
      </w:r>
    </w:p>
    <w:p>
      <w:pPr>
        <w:spacing w:before="0" w:after="0"/>
        <w:ind w:left="360"/>
      </w:pPr>
      <w:r>
        <w:rPr>
          <w:b/>
          <w:sz w:val="20"/>
        </w:rPr>
        <w:t xml:space="preserve">Explanation: </w:t>
      </w:r>
      <w:r>
        <w:rPr>
          <w:sz w:val="20"/>
        </w:rPr>
        <w:t>Rule B2 requires disclosure of the basis for determining AUM (e.g., audited NAV, fair value basis). For Northern Light SIIs (p. 186), BOCGI SII (p. 190), and Future Industry Fund (p. 190), the prospectus discloses AUM figures but fails to state the basis of determination for these amounts. This omission prevents a full assessment of the sophistication claim.</w:t>
      </w:r>
    </w:p>
    <w:p>
      <w:pPr>
        <w:spacing w:before="0" w:after="0"/>
        <w:ind w:left="360"/>
      </w:pPr>
      <w:r>
        <w:rPr>
          <w:b/>
          <w:sz w:val="20"/>
        </w:rPr>
        <w:t xml:space="preserve">Recommendation: </w:t>
      </w:r>
      <w:r>
        <w:rPr>
          <w:sz w:val="20"/>
        </w:rPr>
        <w:t>For each SII qualifying under the AUM basis, disclose the basis of determination for the AUM figure, such as the accounting standard used, valuation method, and whether it was audited.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assets under management (“AUM”) of Northern Light Venture</w:t>
      </w:r>
    </w:p>
    <w:p>
      <w:pPr>
        <w:ind w:left="360"/>
      </w:pPr>
      <w:r>
        <w:rPr>
          <w:b/>
          <w:sz w:val="20"/>
        </w:rPr>
        <w:t>Finding 2: Language [Critical / Insufficient]</w:t>
      </w:r>
    </w:p>
    <w:p>
      <w:pPr>
        <w:spacing w:before="0" w:after="0"/>
        <w:ind w:left="360"/>
      </w:pPr>
      <w:r>
        <w:rPr>
          <w:b/>
          <w:sz w:val="20"/>
        </w:rPr>
        <w:t xml:space="preserve">Explanation: </w:t>
      </w:r>
      <w:r>
        <w:rPr>
          <w:sz w:val="20"/>
        </w:rPr>
        <w:t>The AUM figures for Northern Light SIIs, BOCGI SII, and Future Industry Fund are all qualified with the word 'approximately' (e.g., 'approximately HK$17.69 billion'). This hedging language obscures whether the HK$15bn threshold is precisely met and is inconsistent with the requirement for specific disclosure.</w:t>
      </w:r>
    </w:p>
    <w:p>
      <w:pPr>
        <w:spacing w:before="0" w:after="0"/>
        <w:ind w:left="360"/>
      </w:pPr>
      <w:r>
        <w:rPr>
          <w:b/>
          <w:sz w:val="20"/>
        </w:rPr>
        <w:t xml:space="preserve">Recommendation: </w:t>
      </w:r>
      <w:r>
        <w:rPr>
          <w:sz w:val="20"/>
        </w:rPr>
        <w:t>State the AUM figures as precise monetary amounts without hedging language like 'approximately' to clearly demonstrate that the threshold is met.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was approximately HK$17.69 billion as of June 30, 2016</w:t>
      </w:r>
    </w:p>
    <w:p>
      <w:pPr>
        <w:spacing w:before="120"/>
      </w:pPr>
      <w:r>
        <w:rPr>
          <w:b/>
          <w:sz w:val="22"/>
        </w:rPr>
        <w:t>Rule B3</w:t>
      </w:r>
      <w:r>
        <w:t xml:space="preserve"> — Corporate Portfolio Threshold</w:t>
      </w:r>
      <w:r>
        <w:t xml:space="preserve">   </w:t>
      </w:r>
      <w:r>
        <w:rPr>
          <w:b/>
          <w:color w:val="E67E00"/>
        </w:rPr>
        <w:t>[has_issues]</w:t>
      </w:r>
    </w:p>
    <w:p>
      <w:pPr>
        <w:spacing w:before="0" w:after="0"/>
        <w:ind w:left="360"/>
      </w:pPr>
      <w:r>
        <w:rPr>
          <w:b/>
          <w:sz w:val="20"/>
        </w:rPr>
        <w:t xml:space="preserve">Analysis: </w:t>
      </w:r>
      <w:r>
        <w:rPr>
          <w:sz w:val="20"/>
        </w:rPr>
        <w:t>The sophistication claims for Xiaomi and Tencent rely on their diverse investment portfolio size. While the disclosed figures meet the HK$15bn threshold, the basis of determination is not stated, and the exclusion of consolidated subsidiaries is not addressed, which are disclosure failures.</w:t>
      </w:r>
    </w:p>
    <w:p>
      <w:pPr>
        <w:ind w:left="360"/>
      </w:pPr>
      <w:r>
        <w:rPr>
          <w:b/>
          <w:sz w:val="20"/>
        </w:rPr>
        <w:t>Finding 1: Disclosure [Critical / Absent]</w:t>
      </w:r>
    </w:p>
    <w:p>
      <w:pPr>
        <w:spacing w:before="0" w:after="0"/>
        <w:ind w:left="360"/>
      </w:pPr>
      <w:r>
        <w:rPr>
          <w:b/>
          <w:sz w:val="20"/>
        </w:rPr>
        <w:t xml:space="preserve">Explanation: </w:t>
      </w:r>
      <w:r>
        <w:rPr>
          <w:sz w:val="20"/>
        </w:rPr>
        <w:t>Rule B3 requires disclosure of the basis for determining the portfolio size. For Xiaomi SII (p. 189) and Tencent SII (p. 189), the prospectus discloses portfolio sizes but fails to state the basis of determination (e.g., accounting standard, valuation method). This is a required disclosure item.</w:t>
      </w:r>
    </w:p>
    <w:p>
      <w:pPr>
        <w:spacing w:before="0" w:after="0"/>
        <w:ind w:left="360"/>
      </w:pPr>
      <w:r>
        <w:rPr>
          <w:b/>
          <w:sz w:val="20"/>
        </w:rPr>
        <w:t xml:space="preserve">Recommendation: </w:t>
      </w:r>
      <w:r>
        <w:rPr>
          <w:sz w:val="20"/>
        </w:rPr>
        <w:t>For Xiaomi SII and Tencent SII, disclose the basis of determination for the investment portfolio size, including the valuation methodology and accounting standard applied.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has a diverse investment portfolio of approximately RMB74.5 billion</w:t>
      </w:r>
    </w:p>
    <w:p>
      <w:pPr>
        <w:spacing w:before="120"/>
      </w:pPr>
      <w:r>
        <w:rPr>
          <w:b/>
          <w:sz w:val="22"/>
        </w:rPr>
        <w:t>Rule B4</w:t>
      </w:r>
      <w:r>
        <w:t xml:space="preserve"> — Specialist Technology Focus Threshold</w:t>
      </w:r>
      <w:r>
        <w:t xml:space="preserve">   </w:t>
      </w:r>
      <w:r>
        <w:rPr>
          <w:b/>
          <w:color w:val="1A7A3C"/>
        </w:rPr>
        <w:t>[clear]</w:t>
      </w:r>
    </w:p>
    <w:p>
      <w:pPr>
        <w:spacing w:before="0" w:after="0"/>
        <w:ind w:left="360"/>
      </w:pPr>
      <w:r>
        <w:rPr>
          <w:b/>
          <w:sz w:val="20"/>
        </w:rPr>
        <w:t xml:space="preserve">Analysis: </w:t>
      </w:r>
      <w:r>
        <w:rPr>
          <w:sz w:val="20"/>
        </w:rPr>
        <w:t>The sophistication claims for Oceanpine SIIs and SummitView SIIs rely on the tech-focused portfolio basis under para 21(iii). For Oceanpine (p. 187), the AUM of HK$5.9bn as of Sep 2020 exceeds the HK$5bn threshold, and it is stated to be 'derived primarily from... Specialist Technology Companies'. For SummitView (p. 189), the AUM of HK$13.2bn as of Dec 2020 includes 'more than HK$5 billion in Specialist Technology Companies'. Both disclosures appear to meet the requirements of Rule B4.</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AUM of approximately HK$5.9 billion as of September 25</w:t>
      </w:r>
    </w:p>
    <w:p>
      <w:pPr>
        <w:spacing w:before="120"/>
      </w:pPr>
      <w:r>
        <w:rPr>
          <w:b/>
          <w:sz w:val="22"/>
        </w:rPr>
        <w:t>Rule B5</w:t>
      </w:r>
      <w:r>
        <w:t xml:space="preserve"> — Key Market Participant</w:t>
      </w:r>
      <w:r>
        <w:t xml:space="preserve">   </w:t>
      </w:r>
      <w:r>
        <w:rPr>
          <w:b/>
          <w:color w:val="1A7A3C"/>
        </w:rPr>
        <w:t>[clear]</w:t>
      </w:r>
    </w:p>
    <w:p>
      <w:pPr>
        <w:spacing w:before="0" w:after="0"/>
        <w:ind w:left="360"/>
      </w:pPr>
      <w:r>
        <w:rPr>
          <w:b/>
          <w:sz w:val="20"/>
        </w:rPr>
        <w:t xml:space="preserve">Analysis: </w:t>
      </w:r>
      <w:r>
        <w:rPr>
          <w:sz w:val="20"/>
        </w:rPr>
        <w:t>The sophistication claims for Geely SII and SAIC Motor SII rely on their status as key market participants under para 21(iv). For both (p. 191), the prospectus describes their downstream industry relationship and substantiates their market position by citing sales volume data from an independent market report by Frost &amp; Sullivan. This appears to satisfy the requirements of Rule B5.</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is a key participant in the downstream automotive industry</w:t>
      </w:r>
    </w:p>
    <w:p>
      <w:pPr>
        <w:spacing w:before="120"/>
      </w:pPr>
      <w:r>
        <w:rPr>
          <w:b/>
          <w:sz w:val="22"/>
        </w:rPr>
        <w:t>Rule B6</w:t>
      </w:r>
      <w:r>
        <w:t xml:space="preserve"> — Investment Portfolio Definition (Consolidated Subsidiaries)</w:t>
      </w:r>
      <w:r>
        <w:t xml:space="preserve">   </w:t>
      </w:r>
      <w:r>
        <w:rPr>
          <w:b/>
          <w:color w:val="E67E00"/>
        </w:rPr>
        <w:t>[has_issues]</w:t>
      </w:r>
    </w:p>
    <w:p>
      <w:pPr>
        <w:spacing w:before="0" w:after="0"/>
        <w:ind w:left="360"/>
      </w:pPr>
      <w:r>
        <w:rPr>
          <w:b/>
          <w:sz w:val="20"/>
        </w:rPr>
        <w:t xml:space="preserve">Analysis: </w:t>
      </w:r>
      <w:r>
        <w:rPr>
          <w:sz w:val="20"/>
        </w:rPr>
        <w:t>For SIIs qualifying on a portfolio basis (Xiaomi and Tencent), the prospectus does not explicitly confirm that consolidated subsidiaries have been excluded from the portfolio calculation as required by para 22 of the Guide. This is a disclosure omission.</w:t>
      </w:r>
    </w:p>
    <w:p>
      <w:pPr>
        <w:ind w:left="360"/>
      </w:pPr>
      <w:r>
        <w:rPr>
          <w:b/>
          <w:sz w:val="20"/>
        </w:rPr>
        <w:t>Finding 1: Disclosure [Medium / Absent]</w:t>
      </w:r>
    </w:p>
    <w:p>
      <w:pPr>
        <w:spacing w:before="0" w:after="0"/>
        <w:ind w:left="360"/>
      </w:pPr>
      <w:r>
        <w:rPr>
          <w:b/>
          <w:sz w:val="20"/>
        </w:rPr>
        <w:t xml:space="preserve">Explanation: </w:t>
      </w:r>
      <w:r>
        <w:rPr>
          <w:sz w:val="20"/>
        </w:rPr>
        <w:t>Para 22 of the Guide requires that consolidated subsidiaries be excluded from the 'investment portfolio' calculation. For Xiaomi SII and Tencent SII, which rely on the portfolio basis (Rule B3), the disclosure on page 189 of tier2/pre_ipo_investment does not expressly state whether consolidated subsidiaries were excluded from the disclosed portfolio figures.</w:t>
      </w:r>
    </w:p>
    <w:p>
      <w:pPr>
        <w:spacing w:before="0" w:after="0"/>
        <w:ind w:left="360"/>
      </w:pPr>
      <w:r>
        <w:rPr>
          <w:b/>
          <w:sz w:val="20"/>
        </w:rPr>
        <w:t xml:space="preserve">Recommendation: </w:t>
      </w:r>
      <w:r>
        <w:rPr>
          <w:sz w:val="20"/>
        </w:rPr>
        <w:t>Amend the disclosure for Xiaomi SII and Tencent SII to explicitly confirm that the value of consolidated subsidiaries has been excluded from their respective investment portfolio calculations.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has a diverse investment portfolio of approximately</w:t>
      </w:r>
    </w:p>
    <w:p>
      <w:pPr>
        <w:spacing w:before="120"/>
      </w:pPr>
      <w:r>
        <w:rPr>
          <w:b/>
          <w:sz w:val="22"/>
        </w:rPr>
        <w:t>Rule B7</w:t>
      </w:r>
      <w:r>
        <w:t xml:space="preserve"> — Parent Entity or Fund Manager Qualification</w:t>
      </w:r>
      <w:r>
        <w:t xml:space="preserve">   </w:t>
      </w:r>
      <w:r>
        <w:rPr>
          <w:b/>
          <w:color w:val="1A7A3C"/>
        </w:rPr>
        <w:t>[clear]</w:t>
      </w:r>
    </w:p>
    <w:p>
      <w:pPr>
        <w:spacing w:before="0" w:after="0"/>
        <w:ind w:left="360"/>
      </w:pPr>
      <w:r>
        <w:rPr>
          <w:b/>
          <w:sz w:val="20"/>
        </w:rPr>
        <w:t xml:space="preserve">Analysis: </w:t>
      </w:r>
      <w:r>
        <w:rPr>
          <w:sz w:val="20"/>
        </w:rPr>
        <w:t>All nine SIIs rely on the qualification of their parent entity or fund manager under para 23 of the Guide. For each, the prospectus identifies the qualifying parent/manager by name (e.g., Northern Light Venture Capital, Oceanpine Capital, Xiaomi Corporation, Tencent Holdings Limited) and discloses its qualifying AUM or portfolio figure to the standard required by rules B2/B3/B4/B5. The ownership or management relationship is also described.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is ultimately managed by Northern Light Venture Capital</w:t>
      </w:r>
    </w:p>
    <w:p>
      <w:pPr>
        <w:spacing w:before="120"/>
      </w:pPr>
      <w:r>
        <w:rPr>
          <w:b/>
          <w:sz w:val="22"/>
        </w:rPr>
        <w:t>Rule B8</w:t>
      </w:r>
      <w:r>
        <w:t xml:space="preserve"> — HKEX Case-by-Case Acceptance</w:t>
      </w:r>
      <w:r>
        <w:t xml:space="preserve">   </w:t>
      </w:r>
      <w:r>
        <w:rPr>
          <w:b/>
          <w:color w:val="606060"/>
        </w:rPr>
        <w:t>[not_applicable]</w:t>
      </w:r>
    </w:p>
    <w:p>
      <w:pPr>
        <w:spacing w:before="0" w:after="0"/>
        <w:ind w:left="360"/>
      </w:pPr>
      <w:r>
        <w:rPr>
          <w:b/>
          <w:sz w:val="20"/>
        </w:rPr>
        <w:t xml:space="preserve">Analysis: </w:t>
      </w:r>
      <w:r>
        <w:rPr>
          <w:sz w:val="20"/>
        </w:rPr>
        <w:t>This rule is not triggered. All nine SIIs are claimed to be sophisticated under the specific examples provided in para 21 of the Guide, relying on the qualifications of their parent/manager under para 23. No SII relies on a case-by-case acceptance under para 24.</w:t>
      </w:r>
    </w:p>
    <w:p/>
    <w:p>
      <w:pPr>
        <w:pStyle w:val="Heading2"/>
      </w:pPr>
      <w:r>
        <w:t>Module C: SII Disclosure Requirements (Para 25)</w:t>
      </w:r>
    </w:p>
    <w:p>
      <w:pPr>
        <w:spacing w:before="120"/>
      </w:pPr>
      <w:r>
        <w:rPr>
          <w:b/>
          <w:sz w:val="22"/>
        </w:rPr>
        <w:t>Rule C1</w:t>
      </w:r>
      <w:r>
        <w:t xml:space="preserve"> — Size Disclosure and Basis of Determination</w:t>
      </w:r>
      <w:r>
        <w:t xml:space="preserve">   </w:t>
      </w:r>
      <w:r>
        <w:rPr>
          <w:b/>
          <w:color w:val="E67E00"/>
        </w:rPr>
        <w:t>[has_issues]</w:t>
      </w:r>
    </w:p>
    <w:p>
      <w:pPr>
        <w:spacing w:before="0" w:after="0"/>
        <w:ind w:left="360"/>
      </w:pPr>
      <w:r>
        <w:rPr>
          <w:b/>
          <w:sz w:val="20"/>
        </w:rPr>
        <w:t xml:space="preserve">Analysis: </w:t>
      </w:r>
      <w:r>
        <w:rPr>
          <w:sz w:val="20"/>
        </w:rPr>
        <w:t>The prospectus discloses the size of AUM or portfolio for each SII. However, as flagged in B2 and B3, it fails to disclose the basis of determination for these figures (e.g., accounting standard, valuation method). Additionally, the pervasive use of 'approximately' is a language issue.</w:t>
      </w:r>
    </w:p>
    <w:p>
      <w:pPr>
        <w:ind w:left="360"/>
      </w:pPr>
      <w:r>
        <w:rPr>
          <w:b/>
          <w:sz w:val="20"/>
        </w:rPr>
        <w:t>Finding 1: Disclosure [Critical / Absent]</w:t>
      </w:r>
    </w:p>
    <w:p>
      <w:pPr>
        <w:spacing w:before="0" w:after="0"/>
        <w:ind w:left="360"/>
      </w:pPr>
      <w:r>
        <w:rPr>
          <w:b/>
          <w:sz w:val="20"/>
        </w:rPr>
        <w:t xml:space="preserve">Explanation: </w:t>
      </w:r>
      <w:r>
        <w:rPr>
          <w:sz w:val="20"/>
        </w:rPr>
        <w:t>Para 25 of the Guide requires disclosure of the size and basis for determination of AUM, fund size, or investment portfolio. Across pages 186-191 of tier2/pre_ipo_investment, while monetary figures are provided for each SII, the basis for their determination (e.g., accounting standard, valuation method, whether audited) is consistently absent. This is a critical disclosure omission.</w:t>
      </w:r>
    </w:p>
    <w:p>
      <w:pPr>
        <w:spacing w:before="0" w:after="0"/>
        <w:ind w:left="360"/>
      </w:pPr>
      <w:r>
        <w:rPr>
          <w:b/>
          <w:sz w:val="20"/>
        </w:rPr>
        <w:t xml:space="preserve">Recommendation: </w:t>
      </w:r>
      <w:r>
        <w:rPr>
          <w:sz w:val="20"/>
        </w:rPr>
        <w:t>For each SII, amend the disclosure to include the basis for determination of the relevant AUM or portfolio size figure.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assets under management (“AUM”) of Northern Light</w:t>
      </w:r>
    </w:p>
    <w:p>
      <w:pPr>
        <w:ind w:left="360"/>
      </w:pPr>
      <w:r>
        <w:rPr>
          <w:b/>
          <w:sz w:val="20"/>
        </w:rPr>
        <w:t>Finding 2: Language [Critical / Insufficient]</w:t>
      </w:r>
    </w:p>
    <w:p>
      <w:pPr>
        <w:spacing w:before="0" w:after="0"/>
        <w:ind w:left="360"/>
      </w:pPr>
      <w:r>
        <w:rPr>
          <w:b/>
          <w:sz w:val="20"/>
        </w:rPr>
        <w:t xml:space="preserve">Explanation: </w:t>
      </w:r>
      <w:r>
        <w:rPr>
          <w:sz w:val="20"/>
        </w:rPr>
        <w:t>All monetary figures for AUM and portfolio size in the SII section (pages 186-191) are qualified with 'approximately'. This hedging language fails to provide the specific disclosure required by para 25 and makes it difficult to definitively verify threshold compliance.</w:t>
      </w:r>
    </w:p>
    <w:p>
      <w:pPr>
        <w:spacing w:before="0" w:after="0"/>
        <w:ind w:left="360"/>
      </w:pPr>
      <w:r>
        <w:rPr>
          <w:b/>
          <w:sz w:val="20"/>
        </w:rPr>
        <w:t xml:space="preserve">Recommendation: </w:t>
      </w:r>
      <w:r>
        <w:rPr>
          <w:sz w:val="20"/>
        </w:rPr>
        <w:t>Remove the word 'approximately' and state all AUM and portfolio figures as precise monetary amounts.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was approximately HK$17.69 billion as of June 30, 2016</w:t>
      </w:r>
    </w:p>
    <w:p>
      <w:pPr>
        <w:spacing w:before="120"/>
      </w:pPr>
      <w:r>
        <w:rPr>
          <w:b/>
          <w:sz w:val="22"/>
        </w:rPr>
        <w:t>Rule C2</w:t>
      </w:r>
      <w:r>
        <w:t xml:space="preserve"> — Reference Date (Definitive Agreement)</w:t>
      </w:r>
      <w:r>
        <w:t xml:space="preserve">   </w:t>
      </w:r>
      <w:r>
        <w:rPr>
          <w:b/>
          <w:color w:val="E67E00"/>
        </w:rPr>
        <w:t>[has_issues]</w:t>
      </w:r>
    </w:p>
    <w:p>
      <w:pPr>
        <w:spacing w:before="0" w:after="0"/>
        <w:ind w:left="360"/>
      </w:pPr>
      <w:r>
        <w:rPr>
          <w:b/>
          <w:sz w:val="20"/>
        </w:rPr>
        <w:t xml:space="preserve">Analysis: </w:t>
      </w:r>
      <w:r>
        <w:rPr>
          <w:sz w:val="20"/>
        </w:rPr>
        <w:t>The prospectus fails to provide a specific reference date for the first set of sophistication figures for each SII. Instead, it uses a generic formula in a footnote, which does not meet the disclosure requirement of para 25(i) and prevents verification of the 6-month rule.</w:t>
      </w:r>
    </w:p>
    <w:p>
      <w:pPr>
        <w:ind w:left="360"/>
      </w:pPr>
      <w:r>
        <w:rPr>
          <w:b/>
          <w:sz w:val="20"/>
        </w:rPr>
        <w:t>Finding 1: Disclosure [Critical / Absent]</w:t>
      </w:r>
    </w:p>
    <w:p>
      <w:pPr>
        <w:spacing w:before="0" w:after="0"/>
        <w:ind w:left="360"/>
      </w:pPr>
      <w:r>
        <w:rPr>
          <w:b/>
          <w:sz w:val="20"/>
        </w:rPr>
        <w:t xml:space="preserve">Explanation: </w:t>
      </w:r>
      <w:r>
        <w:rPr>
          <w:sz w:val="20"/>
        </w:rPr>
        <w:t>Para 25(i) of the Guide requires sophistication information to be provided as of a specific reference date. The prospectus, via footnote (1) on page 191 of tier2/pre_ipo_investment, describes the first reference date as 'a date not more than six months prior to the date on which the relevant investor signed the relevant definitive agreement'. This is a description of the rule, not a disclosure of the specific calendar date required to verify compliance. The definitive agreement dates are also not disclosed.</w:t>
      </w:r>
    </w:p>
    <w:p>
      <w:pPr>
        <w:spacing w:before="0" w:after="0"/>
        <w:ind w:left="360"/>
      </w:pPr>
      <w:r>
        <w:rPr>
          <w:b/>
          <w:sz w:val="20"/>
        </w:rPr>
        <w:t xml:space="preserve">Recommendation: </w:t>
      </w:r>
      <w:r>
        <w:rPr>
          <w:sz w:val="20"/>
        </w:rPr>
        <w:t>For each SII, disclose the specific calendar date used as the reference date for the first set of sophistication figures, and the date of the definitive agreement, to allow verification of the 6-month requirement under Rule C2.</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being a date not more than six months prior to</w:t>
      </w:r>
    </w:p>
    <w:p>
      <w:pPr>
        <w:spacing w:before="120"/>
      </w:pPr>
      <w:r>
        <w:rPr>
          <w:b/>
          <w:sz w:val="22"/>
        </w:rPr>
        <w:t>Rule C3</w:t>
      </w:r>
      <w:r>
        <w:t xml:space="preserve"> — Reference Date (Listing Application)</w:t>
      </w:r>
      <w:r>
        <w:t xml:space="preserve">   </w:t>
      </w:r>
      <w:r>
        <w:rPr>
          <w:b/>
          <w:color w:val="E67E00"/>
        </w:rPr>
        <w:t>[has_issues]</w:t>
      </w:r>
    </w:p>
    <w:p>
      <w:pPr>
        <w:spacing w:before="0" w:after="0"/>
        <w:ind w:left="360"/>
      </w:pPr>
      <w:r>
        <w:rPr>
          <w:b/>
          <w:sz w:val="20"/>
        </w:rPr>
        <w:t xml:space="preserve">Analysis: </w:t>
      </w:r>
      <w:r>
        <w:rPr>
          <w:sz w:val="20"/>
        </w:rPr>
        <w:t>The prospectus provides a second set of sophistication figures with specific reference dates (e.g., Sep 30, 2023, Dec 31, 2023). However, these dates are not within 6 months *before* the first listing application date of June 29, 2023, failing the threshold test of para 25(ii).</w:t>
      </w:r>
    </w:p>
    <w:p>
      <w:pPr>
        <w:ind w:left="360"/>
      </w:pPr>
      <w:r>
        <w:rPr>
          <w:b/>
          <w:sz w:val="20"/>
        </w:rPr>
        <w:t>Finding 1: Threshold [Critical / Insufficient]</w:t>
      </w:r>
    </w:p>
    <w:p>
      <w:pPr>
        <w:spacing w:before="0" w:after="0"/>
        <w:ind w:left="360"/>
      </w:pPr>
      <w:r>
        <w:rPr>
          <w:b/>
          <w:sz w:val="20"/>
        </w:rPr>
        <w:t xml:space="preserve">Explanation: </w:t>
      </w:r>
      <w:r>
        <w:rPr>
          <w:sz w:val="20"/>
        </w:rPr>
        <w:t>Para 25(ii) of the Guide requires a second set of sophistication figures as of a reference date no more than 6 months *before* the listing application date. The first listing application date is disclosed as June 29, 2023 (tier2/pre_ipo_investment, p. 186). The second reference dates provided for SIIs (e.g., 'September 30, 2023' for Northern Light, 'December 31, 2023' for Oceanpine) are all *after* the application date, not before. This fails to comply with the timing requirement of Rule C3.</w:t>
      </w:r>
    </w:p>
    <w:p>
      <w:pPr>
        <w:spacing w:before="0" w:after="0"/>
        <w:ind w:left="360"/>
      </w:pPr>
      <w:r>
        <w:rPr>
          <w:b/>
          <w:sz w:val="20"/>
        </w:rPr>
        <w:t xml:space="preserve">Recommendation: </w:t>
      </w:r>
      <w:r>
        <w:rPr>
          <w:sz w:val="20"/>
        </w:rPr>
        <w:t>Provide a second set of sophistication figures for each SII as of a specific reference date that is no more than 6 months *prior* to the listing application date of June 29, 2023.</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and approximately HK$31.19 billion as of September 30, 2023</w:t>
      </w:r>
    </w:p>
    <w:p>
      <w:pPr>
        <w:spacing w:before="120"/>
      </w:pPr>
      <w:r>
        <w:rPr>
          <w:b/>
          <w:sz w:val="22"/>
        </w:rPr>
        <w:t>Rule C4</w:t>
      </w:r>
      <w:r>
        <w:t xml:space="preserve"> — Confidentiality Carve-Out</w:t>
      </w:r>
      <w:r>
        <w:t xml:space="preserve">   </w:t>
      </w:r>
      <w:r>
        <w:rPr>
          <w:b/>
          <w:color w:val="606060"/>
        </w:rPr>
        <w:t>[not_applicable]</w:t>
      </w:r>
    </w:p>
    <w:p>
      <w:pPr>
        <w:spacing w:before="0" w:after="0"/>
        <w:ind w:left="360"/>
      </w:pPr>
      <w:r>
        <w:rPr>
          <w:b/>
          <w:sz w:val="20"/>
        </w:rPr>
        <w:t xml:space="preserve">Analysis: </w:t>
      </w:r>
      <w:r>
        <w:rPr>
          <w:sz w:val="20"/>
        </w:rPr>
        <w:t>This rule is not triggered. The prospectus does not invoke the confidentiality carve-out under the para 25 proviso for any SII.</w:t>
      </w:r>
    </w:p>
    <w:p/>
    <w:p>
      <w:pPr>
        <w:pStyle w:val="Heading2"/>
      </w:pPr>
      <w:r>
        <w:t>Module D: Pathfinder SII Requirements (Para 26(i))</w:t>
      </w:r>
    </w:p>
    <w:p>
      <w:pPr>
        <w:spacing w:before="120"/>
      </w:pPr>
      <w:r>
        <w:rPr>
          <w:b/>
          <w:sz w:val="22"/>
        </w:rPr>
        <w:t>Rule D1a</w:t>
      </w:r>
      <w:r>
        <w:t xml:space="preserve"> — Pathfinder SII Count</w:t>
      </w:r>
      <w:r>
        <w:t xml:space="preserve">   </w:t>
      </w:r>
      <w:r>
        <w:rPr>
          <w:b/>
          <w:color w:val="1A7A3C"/>
        </w:rPr>
        <w:t>[clear]</w:t>
      </w:r>
    </w:p>
    <w:p>
      <w:pPr>
        <w:spacing w:before="0" w:after="0"/>
        <w:ind w:left="360"/>
      </w:pPr>
      <w:r>
        <w:rPr>
          <w:b/>
          <w:sz w:val="20"/>
        </w:rPr>
        <w:t xml:space="preserve">Analysis: </w:t>
      </w:r>
      <w:r>
        <w:rPr>
          <w:sz w:val="20"/>
        </w:rPr>
        <w:t>The prospectus on page 195 of tier2/pre_ipo_investment identifies two Pathfinder SIIs: the Northern Light SIIs and the Oceanpine SIIs. This count of two is within the required range of 2 to 5 under para 26(i)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We have received investments from two Pathfinder SIIs</w:t>
      </w:r>
    </w:p>
    <w:p>
      <w:pPr>
        <w:spacing w:before="120"/>
      </w:pPr>
      <w:r>
        <w:rPr>
          <w:b/>
          <w:sz w:val="22"/>
        </w:rPr>
        <w:t>Rule D1b</w:t>
      </w:r>
      <w:r>
        <w:t xml:space="preserve"> — Pathfinder SII Investment Timing</w:t>
      </w:r>
      <w:r>
        <w:t xml:space="preserve">   </w:t>
      </w:r>
      <w:r>
        <w:rPr>
          <w:b/>
          <w:color w:val="E67E00"/>
        </w:rPr>
        <w:t>[has_issues]</w:t>
      </w:r>
    </w:p>
    <w:p>
      <w:pPr>
        <w:spacing w:before="0" w:after="0"/>
        <w:ind w:left="360"/>
      </w:pPr>
      <w:r>
        <w:rPr>
          <w:b/>
          <w:sz w:val="20"/>
        </w:rPr>
        <w:t xml:space="preserve">Analysis: </w:t>
      </w:r>
      <w:r>
        <w:rPr>
          <w:sz w:val="20"/>
        </w:rPr>
        <w:t>The prospectus states investment dates for both Pathfinders that are more than 12 months before the listing application date. However, it fails to specify that these dates refer to 'irrevocable settlement' as required by para 30 of the Guide, which is a language issue that prevents definitive verification.</w:t>
      </w:r>
    </w:p>
    <w:p>
      <w:pPr>
        <w:ind w:left="360"/>
      </w:pPr>
      <w:r>
        <w:rPr>
          <w:b/>
          <w:sz w:val="20"/>
        </w:rPr>
        <w:t>Finding 1: Language [Critical / Insufficient]</w:t>
      </w:r>
    </w:p>
    <w:p>
      <w:pPr>
        <w:spacing w:before="0" w:after="0"/>
        <w:ind w:left="360"/>
      </w:pPr>
      <w:r>
        <w:rPr>
          <w:b/>
          <w:sz w:val="20"/>
        </w:rPr>
        <w:t xml:space="preserve">Explanation: </w:t>
      </w:r>
      <w:r>
        <w:rPr>
          <w:sz w:val="20"/>
        </w:rPr>
        <w:t>Para 30 of the Guide specifies that the investment date for Pathfinder SIIs must be the date of irrevocable settlement. The prospectus (tier1/history_corporate, p. 176) states Northern Light 'first invested in our Company' in September 2016 and Oceanpine 'first invested in our Company' in September 2020. This language does not explicitly confirm these dates represent irrevocable settlement, which is a critical detail for verifying the 12-month holding period under Rule D1b.</w:t>
      </w:r>
    </w:p>
    <w:p>
      <w:pPr>
        <w:spacing w:before="0" w:after="0"/>
        <w:ind w:left="360"/>
      </w:pPr>
      <w:r>
        <w:rPr>
          <w:b/>
          <w:sz w:val="20"/>
        </w:rPr>
        <w:t xml:space="preserve">Recommendation: </w:t>
      </w:r>
      <w:r>
        <w:rPr>
          <w:sz w:val="20"/>
        </w:rPr>
        <w:t>Amend the disclosure to explicitly state the date of irrevocable settlement for the investment of each Pathfinder SII.</w:t>
      </w:r>
    </w:p>
    <w:p>
      <w:pPr>
        <w:spacing w:before="0" w:after="0"/>
        <w:ind w:left="360"/>
      </w:pPr>
      <w:r>
        <w:rPr>
          <w:b/>
          <w:sz w:val="20"/>
        </w:rPr>
        <w:t xml:space="preserve">Source: </w:t>
      </w:r>
      <w:r>
        <w:rPr>
          <w:sz w:val="20"/>
        </w:rPr>
        <w:t>tier1/history_corporate</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one of our Pathfinder SIIs, first invested in our</w:t>
      </w:r>
    </w:p>
    <w:p>
      <w:pPr>
        <w:spacing w:before="120"/>
      </w:pPr>
      <w:r>
        <w:rPr>
          <w:b/>
          <w:sz w:val="22"/>
        </w:rPr>
        <w:t>Rule D2</w:t>
      </w:r>
      <w:r>
        <w:t xml:space="preserve"> — Pathfinder SII Aggregate Threshold</w:t>
      </w:r>
      <w:r>
        <w:t xml:space="preserve">   </w:t>
      </w:r>
      <w:r>
        <w:rPr>
          <w:b/>
          <w:color w:val="1A7A3C"/>
        </w:rPr>
        <w:t>[clear]</w:t>
      </w:r>
    </w:p>
    <w:p>
      <w:pPr>
        <w:spacing w:before="0" w:after="0"/>
        <w:ind w:left="360"/>
      </w:pPr>
      <w:r>
        <w:rPr>
          <w:b/>
          <w:sz w:val="20"/>
        </w:rPr>
        <w:t xml:space="preserve">Analysis: </w:t>
      </w:r>
      <w:r>
        <w:rPr>
          <w:sz w:val="20"/>
        </w:rPr>
        <w:t>The prospectus relies on the percentage holding basis for the aggregate Pathfinder threshold. On page 187 of tier2/pre_ipo_investment, it discloses that the aggregate holding was 17.45% at the listing application date (June 29, 2023) and 19.05% at the start of the 12-month pre-application period (June 29, 2022). Both figures exceed the 10% threshold required by para 26(i)(a)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Our Pathfinder SIIs, in aggregate, held approximately 17.45%</w:t>
      </w:r>
    </w:p>
    <w:p>
      <w:pPr>
        <w:spacing w:before="120"/>
      </w:pPr>
      <w:r>
        <w:rPr>
          <w:b/>
          <w:sz w:val="22"/>
        </w:rPr>
        <w:t>Rule D3</w:t>
      </w:r>
      <w:r>
        <w:t xml:space="preserve"> — Individual Pathfinder SII Threshold</w:t>
      </w:r>
      <w:r>
        <w:t xml:space="preserve">   </w:t>
      </w:r>
      <w:r>
        <w:rPr>
          <w:b/>
          <w:color w:val="1A7A3C"/>
        </w:rPr>
        <w:t>[clear]</w:t>
      </w:r>
    </w:p>
    <w:p>
      <w:pPr>
        <w:spacing w:before="0" w:after="0"/>
        <w:ind w:left="360"/>
      </w:pPr>
      <w:r>
        <w:rPr>
          <w:b/>
          <w:sz w:val="20"/>
        </w:rPr>
        <w:t xml:space="preserve">Analysis: </w:t>
      </w:r>
      <w:r>
        <w:rPr>
          <w:sz w:val="20"/>
        </w:rPr>
        <w:t>The prospectus relies on the percentage holding basis for the individual Pathfinder threshold. It discloses holdings for Northern Light SIIs (11.48% and 12.53%) and Oceanpine SIIs (5.97% and 6.52%) at the application date and the start of the 12-month period, respectively (tier2/pre_ipo_investment, pages 186-187). As there are two Pathfinders, and both individually exceed the 3% threshold at both dates, the requirement of para 26(i)(b) is met.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Northern Light SIIs held approximately 11.48% and 12.53%</w:t>
      </w:r>
    </w:p>
    <w:p/>
    <w:p>
      <w:pPr>
        <w:pStyle w:val="Heading2"/>
      </w:pPr>
      <w:r>
        <w:t>Module E: Aggregate SII Investment Benchmark (Para 26(ii))</w:t>
      </w:r>
    </w:p>
    <w:p>
      <w:pPr>
        <w:spacing w:before="120"/>
      </w:pPr>
      <w:r>
        <w:rPr>
          <w:b/>
          <w:sz w:val="22"/>
        </w:rPr>
        <w:t>Rule E1</w:t>
      </w:r>
      <w:r>
        <w:t xml:space="preserve"> — Aggregate SII Shareholding Benchmark</w:t>
      </w:r>
      <w:r>
        <w:t xml:space="preserve">   </w:t>
      </w:r>
      <w:r>
        <w:rPr>
          <w:b/>
          <w:color w:val="1A7A3C"/>
        </w:rPr>
        <w:t>[clear]</w:t>
      </w:r>
    </w:p>
    <w:p>
      <w:pPr>
        <w:spacing w:before="0" w:after="0"/>
        <w:ind w:left="360"/>
      </w:pPr>
      <w:r>
        <w:rPr>
          <w:b/>
          <w:sz w:val="20"/>
        </w:rPr>
        <w:t xml:space="preserve">Analysis: </w:t>
      </w:r>
      <w:r>
        <w:rPr>
          <w:sz w:val="20"/>
        </w:rPr>
        <w:t>The prospectus on page 195 of tier2/pre_ipo_investment states that at listing, all SIIs will hold 'no less than 15%' of the issued share capital, assuming a market cap over HK$15 billion. This meets the applicable 15% threshold for a Commercial Company in the HK$15-30bn market cap tier, as determined in Module 0. The current aggregate holding is disclosed as 36.46%, providing sufficient buffer.</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At Listing, such Sophisticated Independent Investors will hold, in</w:t>
      </w:r>
    </w:p>
    <w:p>
      <w:pPr>
        <w:spacing w:before="120"/>
      </w:pPr>
      <w:r>
        <w:rPr>
          <w:b/>
          <w:sz w:val="22"/>
        </w:rPr>
        <w:t>Rule E2</w:t>
      </w:r>
      <w:r>
        <w:t xml:space="preserve"> — Threshold Tier Verification</w:t>
      </w:r>
      <w:r>
        <w:t xml:space="preserve">   </w:t>
      </w:r>
      <w:r>
        <w:rPr>
          <w:b/>
          <w:color w:val="1A7A3C"/>
        </w:rPr>
        <w:t>[clear]</w:t>
      </w:r>
    </w:p>
    <w:p>
      <w:pPr>
        <w:spacing w:before="0" w:after="0"/>
        <w:ind w:left="360"/>
      </w:pPr>
      <w:r>
        <w:rPr>
          <w:b/>
          <w:sz w:val="20"/>
        </w:rPr>
        <w:t xml:space="preserve">Analysis: </w:t>
      </w:r>
      <w:r>
        <w:rPr>
          <w:sz w:val="20"/>
        </w:rPr>
        <w:t>Based on the Commercial Company status (P2) and the expected market cap exceeding HK$15 billion (P3), the prospectus correctly identifies and applies the 15% aggregate SII threshold from the HK$15-30bn tier for Commercial Companies (PARAM_E_COMM_MID) as per the table in para 26(ii)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no less than 15% in the total issued share</w:t>
      </w:r>
    </w:p>
    <w:p/>
    <w:p>
      <w:pPr>
        <w:pStyle w:val="Heading2"/>
      </w:pPr>
      <w:r>
        <w:t>Module F: Convertible Securities (Paras 27–28)</w:t>
      </w:r>
    </w:p>
    <w:p>
      <w:pPr>
        <w:spacing w:before="120"/>
      </w:pPr>
      <w:r>
        <w:rPr>
          <w:b/>
          <w:sz w:val="22"/>
        </w:rPr>
        <w:t>Rule F1</w:t>
      </w:r>
      <w:r>
        <w:t xml:space="preserve"> — Conversion Requirement</w:t>
      </w:r>
      <w:r>
        <w:t xml:space="preserve">   </w:t>
      </w:r>
      <w:r>
        <w:rPr>
          <w:b/>
          <w:color w:val="1A7A3C"/>
        </w:rPr>
        <w:t>[clear]</w:t>
      </w:r>
    </w:p>
    <w:p>
      <w:pPr>
        <w:spacing w:before="0" w:after="0"/>
        <w:ind w:left="360"/>
      </w:pPr>
      <w:r>
        <w:rPr>
          <w:b/>
          <w:sz w:val="20"/>
        </w:rPr>
        <w:t xml:space="preserve">Analysis: </w:t>
      </w:r>
      <w:r>
        <w:rPr>
          <w:sz w:val="20"/>
        </w:rPr>
        <w:t>This rule is triggered as SIIs hold Preferred Shares. Page 185 of tier2/pre_ipo_investment explicitly states that 'All of the Preferred Shares will be converted into Shares on a one-to-one basis immediately upon completion of the Global Offering'. This confirms the instruments will be converted at or before listing and therefore count towards the meaningful investment requirement, satisfying para 27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185</w:t>
      </w:r>
    </w:p>
    <w:p>
      <w:pPr>
        <w:spacing w:before="0" w:after="0"/>
        <w:ind w:left="360"/>
      </w:pPr>
      <w:r>
        <w:rPr>
          <w:b/>
          <w:sz w:val="20"/>
        </w:rPr>
        <w:t xml:space="preserve">Anchor: </w:t>
      </w:r>
      <w:r>
        <w:rPr>
          <w:sz w:val="20"/>
        </w:rPr>
        <w:t>All of the Preferred Shares will be converted into</w:t>
      </w:r>
    </w:p>
    <w:p>
      <w:pPr>
        <w:spacing w:before="120"/>
      </w:pPr>
      <w:r>
        <w:rPr>
          <w:b/>
          <w:sz w:val="22"/>
        </w:rPr>
        <w:t>Rule F2</w:t>
      </w:r>
      <w:r>
        <w:t xml:space="preserve"> — Convertible Securities Counting Basis</w:t>
      </w:r>
      <w:r>
        <w:t xml:space="preserve">   </w:t>
      </w:r>
      <w:r>
        <w:rPr>
          <w:b/>
          <w:color w:val="E67E00"/>
        </w:rPr>
        <w:t>[has_issues]</w:t>
      </w:r>
    </w:p>
    <w:p>
      <w:pPr>
        <w:spacing w:before="0" w:after="0"/>
        <w:ind w:left="360"/>
      </w:pPr>
      <w:r>
        <w:rPr>
          <w:b/>
          <w:sz w:val="20"/>
        </w:rPr>
        <w:t xml:space="preserve">Analysis: </w:t>
      </w:r>
      <w:r>
        <w:rPr>
          <w:sz w:val="20"/>
        </w:rPr>
        <w:t>The prospectus discloses the number of preferred shares held by each SII that will be converted. However, it fails to disclose the corresponding investment amount for each individual SII, instead providing amounts per funding round. This is a disclosure failure under para 28 of the Guide.</w:t>
      </w:r>
    </w:p>
    <w:p>
      <w:pPr>
        <w:ind w:left="360"/>
      </w:pPr>
      <w:r>
        <w:rPr>
          <w:b/>
          <w:sz w:val="20"/>
        </w:rPr>
        <w:t>Finding 1: Disclosure [High / Absent]</w:t>
      </w:r>
    </w:p>
    <w:p>
      <w:pPr>
        <w:spacing w:before="0" w:after="0"/>
        <w:ind w:left="360"/>
      </w:pPr>
      <w:r>
        <w:rPr>
          <w:b/>
          <w:sz w:val="20"/>
        </w:rPr>
        <w:t xml:space="preserve">Explanation: </w:t>
      </w:r>
      <w:r>
        <w:rPr>
          <w:sz w:val="20"/>
        </w:rPr>
        <w:t>Para 28 of the Guide requires disclosure of the number of shares to be converted and the corresponding investment amount for each relevant SII. While the capitalization table on pages 198-204 of tier2/pre_ipo_investment shows the number of preferred shares held by each SII, it does not disclose the corresponding investment amount for each SII. The table on page 181 only provides aggregate investment amounts per funding round, not per investor.</w:t>
      </w:r>
    </w:p>
    <w:p>
      <w:pPr>
        <w:spacing w:before="0" w:after="0"/>
        <w:ind w:left="360"/>
      </w:pPr>
      <w:r>
        <w:rPr>
          <w:b/>
          <w:sz w:val="20"/>
        </w:rPr>
        <w:t xml:space="preserve">Recommendation: </w:t>
      </w:r>
      <w:r>
        <w:rPr>
          <w:sz w:val="20"/>
        </w:rPr>
        <w:t>Disclose the specific investment amount corresponding to the convertible securities held by each individual SII to comply with Rule F2.</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198</w:t>
      </w:r>
    </w:p>
    <w:p/>
    <w:p>
      <w:pPr>
        <w:pStyle w:val="Heading2"/>
      </w:pPr>
      <w:r>
        <w:t>Module G: Shareholding Fluctuations (Paras 29–31)</w:t>
      </w:r>
    </w:p>
    <w:p>
      <w:pPr>
        <w:spacing w:before="120"/>
      </w:pPr>
      <w:r>
        <w:rPr>
          <w:b/>
          <w:sz w:val="22"/>
        </w:rPr>
        <w:t>Rule G1</w:t>
      </w:r>
      <w:r>
        <w:t xml:space="preserve"> — Temporary Dilution Without Top-Up</w:t>
      </w:r>
      <w:r>
        <w:t xml:space="preserve">   </w:t>
      </w:r>
      <w:r>
        <w:rPr>
          <w:b/>
          <w:color w:val="E67E00"/>
        </w:rPr>
        <w:t>[has_issues]</w:t>
      </w:r>
    </w:p>
    <w:p>
      <w:pPr>
        <w:spacing w:before="0" w:after="0"/>
        <w:ind w:left="360"/>
      </w:pPr>
      <w:r>
        <w:rPr>
          <w:b/>
          <w:sz w:val="20"/>
        </w:rPr>
        <w:t xml:space="preserve">Analysis: </w:t>
      </w:r>
      <w:r>
        <w:rPr>
          <w:sz w:val="20"/>
        </w:rPr>
        <w:t>The prospectus discloses that the shareholdings of both Pathfinder SIIs were diluted during the 12-month pre-application period. While it provides holdings at the start and end of the period (which meet the thresholds), it fails to disclose the 12-month average holding for each Pathfinder and in aggregate, which is required by para 29(i) of the Guide to justify the temporary dilution.</w:t>
      </w:r>
    </w:p>
    <w:p>
      <w:pPr>
        <w:ind w:left="360"/>
      </w:pPr>
      <w:r>
        <w:rPr>
          <w:b/>
          <w:sz w:val="20"/>
        </w:rPr>
        <w:t>Finding 1: Disclosure [High / Absent]</w:t>
      </w:r>
    </w:p>
    <w:p>
      <w:pPr>
        <w:spacing w:before="0" w:after="0"/>
        <w:ind w:left="360"/>
      </w:pPr>
      <w:r>
        <w:rPr>
          <w:b/>
          <w:sz w:val="20"/>
        </w:rPr>
        <w:t xml:space="preserve">Explanation: </w:t>
      </w:r>
      <w:r>
        <w:rPr>
          <w:sz w:val="20"/>
        </w:rPr>
        <w:t>Para 29(i) of the Guide allows for temporary dilution of a Pathfinder's holding if the threshold is met at the application date AND on a 12-month average basis. The prospectus (tier2/pre_ipo_investment, pp. 186-187) discloses holdings at the start and end of the 12-month period but fails to disclose the 12-month average holding for each Pathfinder SII and for the aggregate. This information is necessary to confirm compliance under the temporary dilution rule.</w:t>
      </w:r>
    </w:p>
    <w:p>
      <w:pPr>
        <w:spacing w:before="0" w:after="0"/>
        <w:ind w:left="360"/>
      </w:pPr>
      <w:r>
        <w:rPr>
          <w:b/>
          <w:sz w:val="20"/>
        </w:rPr>
        <w:t xml:space="preserve">Recommendation: </w:t>
      </w:r>
      <w:r>
        <w:rPr>
          <w:sz w:val="20"/>
        </w:rPr>
        <w:t>Disclose the 12-month average shareholding percentage for each Pathfinder SII and for the Pathfinders in aggregate, and confirm that these averages meet the applicable 3% individual and 10% aggregate thresholds.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held approximately 17.45% and 19.05% of the total issued</w:t>
      </w:r>
    </w:p>
    <w:p>
      <w:pPr>
        <w:spacing w:before="120"/>
      </w:pPr>
      <w:r>
        <w:rPr>
          <w:b/>
          <w:sz w:val="22"/>
        </w:rPr>
        <w:t>Rule G2</w:t>
      </w:r>
      <w:r>
        <w:t xml:space="preserve"> — Top-Up Mechanism</w:t>
      </w:r>
      <w:r>
        <w:t xml:space="preserve">   </w:t>
      </w:r>
      <w:r>
        <w:rPr>
          <w:b/>
          <w:color w:val="606060"/>
        </w:rPr>
        <w:t>[not_applicable]</w:t>
      </w:r>
    </w:p>
    <w:p>
      <w:pPr>
        <w:spacing w:before="0" w:after="0"/>
        <w:ind w:left="360"/>
      </w:pPr>
      <w:r>
        <w:rPr>
          <w:b/>
          <w:sz w:val="20"/>
        </w:rPr>
        <w:t xml:space="preserve">Analysis: </w:t>
      </w:r>
      <w:r>
        <w:rPr>
          <w:sz w:val="20"/>
        </w:rPr>
        <w:t>This rule is not triggered. The prospectus does not disclose or rely on any top-up mechanism to cure a shareholding dilution for any Pathfinder SII.</w:t>
      </w:r>
    </w:p>
    <w:p>
      <w:pPr>
        <w:spacing w:before="120"/>
      </w:pPr>
      <w:r>
        <w:rPr>
          <w:b/>
          <w:sz w:val="22"/>
        </w:rPr>
        <w:t>Rule G3</w:t>
      </w:r>
      <w:r>
        <w:t xml:space="preserve"> — Investment Date Definition</w:t>
      </w:r>
      <w:r>
        <w:t xml:space="preserve">   </w:t>
      </w:r>
      <w:r>
        <w:rPr>
          <w:b/>
          <w:color w:val="E67E00"/>
        </w:rPr>
        <w:t>[has_issues]</w:t>
      </w:r>
    </w:p>
    <w:p>
      <w:pPr>
        <w:spacing w:before="0" w:after="0"/>
        <w:ind w:left="360"/>
      </w:pPr>
      <w:r>
        <w:rPr>
          <w:b/>
          <w:sz w:val="20"/>
        </w:rPr>
        <w:t xml:space="preserve">Analysis: </w:t>
      </w:r>
      <w:r>
        <w:rPr>
          <w:sz w:val="20"/>
        </w:rPr>
        <w:t>The prospectus provides investment dates for Pathfinder SIIs but uses general language like 'first invested in' rather than specifying the date of 'irrevocable settlement' as required by para 30 of the Guide. This linguistic imprecision prevents definitive verification of the 12-month holding period.</w:t>
      </w:r>
    </w:p>
    <w:p>
      <w:pPr>
        <w:ind w:left="360"/>
      </w:pPr>
      <w:r>
        <w:rPr>
          <w:b/>
          <w:sz w:val="20"/>
        </w:rPr>
        <w:t>Finding 1: Language [Medium / Insufficient]</w:t>
      </w:r>
    </w:p>
    <w:p>
      <w:pPr>
        <w:spacing w:before="0" w:after="0"/>
        <w:ind w:left="360"/>
      </w:pPr>
      <w:r>
        <w:rPr>
          <w:b/>
          <w:sz w:val="20"/>
        </w:rPr>
        <w:t xml:space="preserve">Explanation: </w:t>
      </w:r>
      <w:r>
        <w:rPr>
          <w:sz w:val="20"/>
        </w:rPr>
        <w:t>Para 30 of the Guide defines the investment date as the date of irrevocable settlement. The prospectus (tier1/history_corporate, p. 176) uses vague phrasing such as 'first invested in our Company' when referring to the investment dates of Pathfinder SIIs. This does not explicitly confirm that the dates provided correspond to irrevocable settlement, which is a key definitional requirement.</w:t>
      </w:r>
    </w:p>
    <w:p>
      <w:pPr>
        <w:spacing w:before="0" w:after="0"/>
        <w:ind w:left="360"/>
      </w:pPr>
      <w:r>
        <w:rPr>
          <w:b/>
          <w:sz w:val="20"/>
        </w:rPr>
        <w:t xml:space="preserve">Recommendation: </w:t>
      </w:r>
      <w:r>
        <w:rPr>
          <w:sz w:val="20"/>
        </w:rPr>
        <w:t>Amend the disclosure to explicitly state the date of irrevocable settlement for each Pathfinder SII's investment to align with the definition in para 30 of the Guide.</w:t>
      </w:r>
    </w:p>
    <w:p>
      <w:pPr>
        <w:spacing w:before="0" w:after="0"/>
        <w:ind w:left="360"/>
      </w:pPr>
      <w:r>
        <w:rPr>
          <w:b/>
          <w:sz w:val="20"/>
        </w:rPr>
        <w:t xml:space="preserve">Source: </w:t>
      </w:r>
      <w:r>
        <w:rPr>
          <w:sz w:val="20"/>
        </w:rPr>
        <w:t>tier1/history_corporate</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one of our Pathfinder SIIs, first invested in our</w:t>
      </w:r>
    </w:p>
    <w:p>
      <w:pPr>
        <w:spacing w:before="120"/>
      </w:pPr>
      <w:r>
        <w:rPr>
          <w:b/>
          <w:sz w:val="22"/>
        </w:rPr>
        <w:t>Rule G4</w:t>
      </w:r>
      <w:r>
        <w:t xml:space="preserve"> — Aggregation of Related Entities</w:t>
      </w:r>
      <w:r>
        <w:t xml:space="preserve">   </w:t>
      </w:r>
      <w:r>
        <w:rPr>
          <w:b/>
          <w:color w:val="1A7A3C"/>
        </w:rPr>
        <w:t>[clear]</w:t>
      </w:r>
    </w:p>
    <w:p>
      <w:pPr>
        <w:spacing w:before="0" w:after="0"/>
        <w:ind w:left="360"/>
      </w:pPr>
      <w:r>
        <w:rPr>
          <w:b/>
          <w:sz w:val="20"/>
        </w:rPr>
        <w:t xml:space="preserve">Analysis: </w:t>
      </w:r>
      <w:r>
        <w:rPr>
          <w:sz w:val="20"/>
        </w:rPr>
        <w:t>This rule is triggered as the holdings of different funds are aggregated for the Northern Light SIIs, Oceanpine SIIs, and SummitView SIIs. For each, the prospectus (tier2/pre_ipo_investment, pages 186-188) discloses the relationship between the entities (e.g., 'different funds managed by the same fund manager') and describes the investment decision-making process, satisfying the requirements of para 31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should be aggregated as one Pathfinder SII pursuant to Chapter</w:t>
      </w:r>
    </w:p>
    <w:p/>
    <w:p>
      <w:pPr>
        <w:pStyle w:val="Heading2"/>
      </w:pPr>
      <w:r>
        <w:t>Module H: Aggregate Benchmark Mechanics (Para 32)</w:t>
      </w:r>
    </w:p>
    <w:p>
      <w:pPr>
        <w:spacing w:before="120"/>
      </w:pPr>
      <w:r>
        <w:rPr>
          <w:b/>
          <w:sz w:val="22"/>
        </w:rPr>
        <w:t>Rule H1</w:t>
      </w:r>
      <w:r>
        <w:t xml:space="preserve"> — Pre-Listing and At-Listing SII Investments Combined</w:t>
      </w:r>
      <w:r>
        <w:t xml:space="preserve">   </w:t>
      </w:r>
      <w:r>
        <w:rPr>
          <w:b/>
          <w:color w:val="606060"/>
        </w:rPr>
        <w:t>[not_applicable]</w:t>
      </w:r>
    </w:p>
    <w:p>
      <w:pPr>
        <w:spacing w:before="0" w:after="0"/>
        <w:ind w:left="360"/>
      </w:pPr>
      <w:r>
        <w:rPr>
          <w:b/>
          <w:sz w:val="20"/>
        </w:rPr>
        <w:t xml:space="preserve">Analysis: </w:t>
      </w:r>
      <w:r>
        <w:rPr>
          <w:sz w:val="20"/>
        </w:rPr>
        <w:t>This rule is not triggered. A review of the prospectus, including tier1/cornerstone_investors, did not identify any disclosure indicating that any existing SIIs are also participating as cornerstone investors or will receive allocations in the listing.</w:t>
      </w:r>
    </w:p>
    <w:p>
      <w:pPr>
        <w:spacing w:before="0" w:after="0"/>
        <w:ind w:left="360"/>
      </w:pPr>
      <w:r>
        <w:rPr>
          <w:b/>
          <w:sz w:val="20"/>
        </w:rPr>
        <w:t xml:space="preserve">Source: </w:t>
      </w:r>
      <w:r>
        <w:rPr>
          <w:sz w:val="20"/>
        </w:rPr>
        <w:t>tier1/cornerstone_investors</w:t>
      </w:r>
    </w:p>
    <w:p>
      <w:pPr>
        <w:spacing w:before="0" w:after="0"/>
        <w:ind w:left="360"/>
      </w:pPr>
      <w:r>
        <w:rPr>
          <w:b/>
          <w:sz w:val="20"/>
        </w:rPr>
        <w:t xml:space="preserve">Page: </w:t>
      </w:r>
      <w:r>
        <w:rPr>
          <w:sz w:val="20"/>
        </w:rPr>
        <w:t>347</w:t>
      </w:r>
    </w:p>
    <w:p>
      <w:pPr>
        <w:spacing w:before="0" w:after="0"/>
        <w:ind w:left="360"/>
      </w:pPr>
      <w:r>
        <w:rPr>
          <w:b/>
          <w:sz w:val="20"/>
        </w:rPr>
        <w:t xml:space="preserve">Anchor: </w:t>
      </w:r>
      <w:r>
        <w:rPr>
          <w:sz w:val="20"/>
        </w:rPr>
        <w:t>OUR CORNERSTONE INVESTORS</w:t>
      </w:r>
    </w:p>
    <w:p>
      <w:pPr>
        <w:spacing w:before="120"/>
      </w:pPr>
      <w:r>
        <w:rPr>
          <w:b/>
          <w:sz w:val="22"/>
        </w:rPr>
        <w:t>Rule H2a</w:t>
      </w:r>
      <w:r>
        <w:t xml:space="preserve"> — Applicant/OC/Sponsor Undertaking for SII Placees</w:t>
      </w:r>
      <w:r>
        <w:t xml:space="preserve">   </w:t>
      </w:r>
      <w:r>
        <w:rPr>
          <w:b/>
          <w:color w:val="606060"/>
        </w:rPr>
        <w:t>[not_applicable]</w:t>
      </w:r>
    </w:p>
    <w:p>
      <w:pPr>
        <w:spacing w:before="0" w:after="0"/>
        <w:ind w:left="360"/>
      </w:pPr>
      <w:r>
        <w:rPr>
          <w:b/>
          <w:sz w:val="20"/>
        </w:rPr>
        <w:t xml:space="preserve">Analysis: </w:t>
      </w:r>
      <w:r>
        <w:rPr>
          <w:sz w:val="20"/>
        </w:rPr>
        <w:t>This rule is not triggered. The prospectus does not mention reliance on the SII Placees mechanism to meet the Aggregate Investment Benchmark, and therefore no undertaking is disclosed or required.</w:t>
      </w:r>
    </w:p>
    <w:p>
      <w:pPr>
        <w:spacing w:before="120"/>
      </w:pPr>
      <w:r>
        <w:rPr>
          <w:b/>
          <w:sz w:val="22"/>
        </w:rPr>
        <w:t>Rule H2b</w:t>
      </w:r>
      <w:r>
        <w:t xml:space="preserve"> — SII Placee Sophistication</w:t>
      </w:r>
      <w:r>
        <w:t xml:space="preserve">   </w:t>
      </w:r>
      <w:r>
        <w:rPr>
          <w:b/>
          <w:color w:val="606060"/>
        </w:rPr>
        <w:t>[not_applicable]</w:t>
      </w:r>
    </w:p>
    <w:p>
      <w:pPr>
        <w:spacing w:before="0" w:after="0"/>
        <w:ind w:left="360"/>
      </w:pPr>
      <w:r>
        <w:rPr>
          <w:b/>
          <w:sz w:val="20"/>
        </w:rPr>
        <w:t xml:space="preserve">Analysis: </w:t>
      </w:r>
      <w:r>
        <w:rPr>
          <w:sz w:val="20"/>
        </w:rPr>
        <w:t>This rule is not triggered because the SII Placees mechanism (Rule H2a) is not being used.</w:t>
      </w:r>
    </w:p>
    <w:p>
      <w:pPr>
        <w:spacing w:before="120"/>
      </w:pPr>
      <w:r>
        <w:rPr>
          <w:b/>
          <w:sz w:val="22"/>
        </w:rPr>
        <w:t>Rule H2c</w:t>
      </w:r>
      <w:r>
        <w:t xml:space="preserve"> — Advance HKEX Submission for Para 21(iv) Placees</w:t>
      </w:r>
      <w:r>
        <w:t xml:space="preserve">   </w:t>
      </w:r>
      <w:r>
        <w:rPr>
          <w:b/>
          <w:color w:val="606060"/>
        </w:rPr>
        <w:t>[not_applicable]</w:t>
      </w:r>
    </w:p>
    <w:p>
      <w:pPr>
        <w:spacing w:before="0" w:after="0"/>
        <w:ind w:left="360"/>
      </w:pPr>
      <w:r>
        <w:rPr>
          <w:b/>
          <w:sz w:val="20"/>
        </w:rPr>
        <w:t xml:space="preserve">Analysis: </w:t>
      </w:r>
      <w:r>
        <w:rPr>
          <w:sz w:val="20"/>
        </w:rPr>
        <w:t>This rule is not triggered because the SII Placees mechanism (Rule H2a) is not being used.</w:t>
      </w:r>
    </w:p>
    <w:p>
      <w:pPr>
        <w:spacing w:before="120"/>
      </w:pPr>
      <w:r>
        <w:rPr>
          <w:b/>
          <w:sz w:val="22"/>
        </w:rPr>
        <w:t>Rule H3</w:t>
      </w:r>
      <w:r>
        <w:t xml:space="preserve"> — Post-Listing Allotment Results Disclosure</w:t>
      </w:r>
      <w:r>
        <w:t xml:space="preserve">   </w:t>
      </w:r>
      <w:r>
        <w:rPr>
          <w:b/>
          <w:color w:val="606060"/>
        </w:rPr>
        <w:t>[not_applicable]</w:t>
      </w:r>
    </w:p>
    <w:p>
      <w:pPr>
        <w:spacing w:before="0" w:after="0"/>
        <w:ind w:left="360"/>
      </w:pPr>
      <w:r>
        <w:rPr>
          <w:b/>
          <w:sz w:val="20"/>
        </w:rPr>
        <w:t xml:space="preserve">Analysis: </w:t>
      </w:r>
      <w:r>
        <w:rPr>
          <w:sz w:val="20"/>
        </w:rPr>
        <w:t>This rule is not triggered because the SII Placees mechanism (Rule H2a) is not being used.</w:t>
      </w:r>
    </w:p>
    <w:p/>
    <w:p>
      <w:pPr>
        <w:pStyle w:val="Heading2"/>
      </w:pPr>
      <w:r>
        <w:t>Module I: Secondary / Dual Listings (Paras 33–34)</w:t>
      </w:r>
    </w:p>
    <w:p>
      <w:pPr>
        <w:spacing w:before="120"/>
      </w:pPr>
      <w:r>
        <w:rPr>
          <w:b/>
          <w:sz w:val="22"/>
        </w:rPr>
        <w:t>Rule I1</w:t>
      </w:r>
      <w:r>
        <w:t xml:space="preserve"> — Non-Standard Compliance Disclosure</w:t>
      </w:r>
      <w:r>
        <w:t xml:space="preserve">   </w:t>
      </w:r>
      <w:r>
        <w:rPr>
          <w:b/>
          <w:color w:val="606060"/>
        </w:rPr>
        <w:t>[not_applicable]</w:t>
      </w:r>
    </w:p>
    <w:p>
      <w:pPr>
        <w:spacing w:before="0" w:after="0"/>
        <w:ind w:left="360"/>
      </w:pPr>
      <w:r>
        <w:rPr>
          <w:b/>
          <w:sz w:val="20"/>
        </w:rPr>
        <w:t xml:space="preserve">Analysis: </w:t>
      </w:r>
      <w:r>
        <w:rPr>
          <w:sz w:val="20"/>
        </w:rPr>
        <w:t>This rule is not triggered. A review of tier2/history_of_group and tier2/corporate_structure confirms that the applicant is seeking a primary listing and is not already listed on a recognised overseas stock exchange.</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Our Company was incorporated as an exempted company with</w:t>
      </w:r>
    </w:p>
    <w:p/>
    <w:p>
      <w:pPr>
        <w:pStyle w:val="Heading1"/>
      </w:pPr>
      <w:r>
        <w:t>Reasoning Flags</w:t>
      </w:r>
    </w:p>
    <w:p>
      <w:r>
        <w:rPr>
          <w:b/>
          <w:color w:val="1A5FA8"/>
        </w:rPr>
        <w:t>[Medium]</w:t>
      </w:r>
    </w:p>
    <w:p>
      <w:pPr>
        <w:spacing w:before="0" w:after="0"/>
        <w:ind w:left="360"/>
      </w:pPr>
      <w:r>
        <w:rPr>
          <w:b/>
          <w:sz w:val="20"/>
        </w:rPr>
        <w:t xml:space="preserve">Recommendation: </w:t>
      </w:r>
      <w:r>
        <w:rPr>
          <w:sz w:val="20"/>
        </w:rPr>
        <w:t>Verify the individual and aggregate SII shareholding percentages and ensure they are arithmetically consistent across all disclosures.</w:t>
      </w:r>
    </w:p>
    <w:p>
      <w:r>
        <w:rPr>
          <w:b/>
          <w:color w:val="E67E00"/>
        </w:rPr>
        <w:t>[High]</w:t>
      </w:r>
    </w:p>
    <w:p>
      <w:pPr>
        <w:spacing w:before="0" w:after="0"/>
        <w:ind w:left="360"/>
      </w:pPr>
      <w:r>
        <w:rPr>
          <w:b/>
          <w:sz w:val="20"/>
        </w:rPr>
        <w:t xml:space="preserve">Recommendation: </w:t>
      </w:r>
      <w:r>
        <w:rPr>
          <w:sz w:val="20"/>
        </w:rPr>
        <w:t>Reconcile the shareholding percentages for all SIIs to ensure the figures are identical in the narrative descriptions and the capitalization table.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