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IPO Prospectus Analysis — Black Sesame International Holding Limited</w:t>
      </w:r>
    </w:p>
    <w:p>
      <w:pPr>
        <w:jc w:val="center"/>
      </w:pPr>
      <w:r>
        <w:rPr>
          <w:color w:val="606060"/>
        </w:rPr>
        <w:t>Analysis date: 2024-07-31</w:t>
      </w:r>
    </w:p>
    <w:p/>
    <w:p>
      <w:pPr>
        <w:pStyle w:val="Heading1"/>
      </w:pPr>
      <w:r>
        <w:t>Summary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Total rules evaluated</w:t>
            </w:r>
          </w:p>
        </w:tc>
        <w:tc>
          <w:tcPr>
            <w:tcW w:type="dxa" w:w="4320"/>
          </w:tcPr>
          <w:p>
            <w:r>
              <w:t>30</w:t>
            </w:r>
          </w:p>
        </w:tc>
      </w:tr>
      <w:tr>
        <w:tc>
          <w:tcPr>
            <w:tcW w:type="dxa" w:w="4320"/>
          </w:tcPr>
          <w:p>
            <w:r>
              <w:t>Rules clear</w:t>
            </w:r>
          </w:p>
        </w:tc>
        <w:tc>
          <w:tcPr>
            <w:tcW w:type="dxa" w:w="4320"/>
          </w:tcPr>
          <w:p>
            <w:r>
              <w:t>17</w:t>
            </w:r>
          </w:p>
        </w:tc>
      </w:tr>
      <w:tr>
        <w:tc>
          <w:tcPr>
            <w:tcW w:type="dxa" w:w="4320"/>
          </w:tcPr>
          <w:p>
            <w:r>
              <w:t>Rules with issues</w:t>
            </w:r>
          </w:p>
        </w:tc>
        <w:tc>
          <w:tcPr>
            <w:tcW w:type="dxa" w:w="4320"/>
          </w:tcPr>
          <w:p>
            <w:r>
              <w:t>13</w:t>
            </w:r>
          </w:p>
        </w:tc>
      </w:tr>
      <w:tr>
        <w:tc>
          <w:tcPr>
            <w:tcW w:type="dxa" w:w="4320"/>
          </w:tcPr>
          <w:p>
            <w:r>
              <w:t>Not Applicable</w:t>
            </w:r>
          </w:p>
        </w:tc>
        <w:tc>
          <w:tcPr>
            <w:tcW w:type="dxa" w:w="4320"/>
          </w:tcPr>
          <w:p>
            <w:r>
              <w:t>9</w:t>
            </w:r>
          </w:p>
        </w:tc>
      </w:tr>
      <w:tr>
        <w:tc>
          <w:tcPr>
            <w:tcW w:type="dxa" w:w="4320"/>
          </w:tcPr>
          <w:p>
            <w:r>
              <w:t>Reasoning flags</w:t>
            </w:r>
          </w:p>
        </w:tc>
        <w:tc>
          <w:tcPr>
            <w:tcW w:type="dxa" w:w="4320"/>
          </w:tcPr>
          <w:p>
            <w:r>
              <w:t>0</w:t>
            </w:r>
          </w:p>
        </w:tc>
      </w:tr>
      <w:tr>
        <w:tc>
          <w:tcPr>
            <w:tcW w:type="dxa" w:w="4320"/>
          </w:tcPr>
          <w:p>
            <w:r>
              <w:t xml:space="preserve">  Critical findings</w:t>
            </w:r>
          </w:p>
        </w:tc>
        <w:tc>
          <w:tcPr>
            <w:tcW w:type="dxa" w:w="4320"/>
          </w:tcPr>
          <w:p>
            <w:r>
              <w:t>10</w:t>
            </w:r>
          </w:p>
        </w:tc>
      </w:tr>
      <w:tr>
        <w:tc>
          <w:tcPr>
            <w:tcW w:type="dxa" w:w="4320"/>
          </w:tcPr>
          <w:p>
            <w:r>
              <w:t xml:space="preserve">  High findings</w:t>
            </w:r>
          </w:p>
        </w:tc>
        <w:tc>
          <w:tcPr>
            <w:tcW w:type="dxa" w:w="4320"/>
          </w:tcPr>
          <w:p>
            <w:r>
              <w:t>3</w:t>
            </w:r>
          </w:p>
        </w:tc>
      </w:tr>
      <w:tr>
        <w:tc>
          <w:tcPr>
            <w:tcW w:type="dxa" w:w="4320"/>
          </w:tcPr>
          <w:p>
            <w:r>
              <w:t xml:space="preserve">  Medium findings</w:t>
            </w:r>
          </w:p>
        </w:tc>
        <w:tc>
          <w:tcPr>
            <w:tcW w:type="dxa" w:w="4320"/>
          </w:tcPr>
          <w:p>
            <w:r>
              <w:t>2</w:t>
            </w:r>
          </w:p>
        </w:tc>
      </w:tr>
    </w:tbl>
    <w:p/>
    <w:p>
      <w:pPr>
        <w:pStyle w:val="Heading1"/>
      </w:pPr>
      <w:r>
        <w:t>Modules &amp; Rules</w:t>
      </w:r>
    </w:p>
    <w:p>
      <w:pPr>
        <w:pStyle w:val="Heading2"/>
      </w:pPr>
      <w:r>
        <w:t>Module 0: Pre-Conditions and Company Classification</w:t>
      </w:r>
    </w:p>
    <w:p>
      <w:pPr>
        <w:spacing w:before="120"/>
      </w:pPr>
      <w:r>
        <w:rPr>
          <w:b/>
          <w:sz w:val="22"/>
        </w:rPr>
        <w:t>Rule P1</w:t>
      </w:r>
      <w:r>
        <w:t xml:space="preserve"> — Specialist Technology Company Status</w:t>
      </w:r>
      <w:r>
        <w:t xml:space="preserve">   </w:t>
      </w:r>
      <w:r>
        <w:rPr>
          <w:b/>
          <w:color w:val="1A7A3C"/>
        </w:rPr>
        <w:t>[clear]</w:t>
      </w:r>
    </w:p>
    <w:p>
      <w:pPr>
        <w:spacing w:before="0" w:after="0"/>
        <w:ind w:left="360"/>
      </w:pPr>
      <w:r>
        <w:rPr>
          <w:b/>
          <w:sz w:val="20"/>
        </w:rPr>
        <w:t xml:space="preserve">Analysis: </w:t>
      </w:r>
      <w:r>
        <w:rPr>
          <w:sz w:val="20"/>
        </w:rPr>
        <w:t>The prospectus identifies the applicant as a Specialist Technology Company. The Business chapter (tier1/business, page 214) describes the company as an 'automotive-grade computing SoC and SoC-based intelligent vehicle solution provider'. Pages 232-234 explicitly map the company's products to the 'Advanced hardware and software' industry (acceptable sector: Semiconductors) and 'Next-generation information technology' industry (acceptable sector: Artificial intelligence), satisfying the requirements of MB Rule 18C.01 and Guide para 2.</w:t>
      </w:r>
    </w:p>
    <w:p>
      <w:pPr>
        <w:spacing w:before="0" w:after="0"/>
        <w:ind w:left="360"/>
      </w:pPr>
      <w:r>
        <w:rPr>
          <w:b/>
          <w:sz w:val="20"/>
        </w:rPr>
        <w:t xml:space="preserve">Source: </w:t>
      </w:r>
      <w:r>
        <w:rPr>
          <w:sz w:val="20"/>
        </w:rPr>
        <w:t>tier1/business</w:t>
      </w:r>
    </w:p>
    <w:p>
      <w:pPr>
        <w:spacing w:before="0" w:after="0"/>
        <w:ind w:left="360"/>
      </w:pPr>
      <w:r>
        <w:rPr>
          <w:b/>
          <w:sz w:val="20"/>
        </w:rPr>
        <w:t xml:space="preserve">Page: </w:t>
      </w:r>
      <w:r>
        <w:rPr>
          <w:sz w:val="20"/>
        </w:rPr>
        <w:t>232</w:t>
      </w:r>
    </w:p>
    <w:p>
      <w:pPr>
        <w:spacing w:before="0" w:after="0"/>
        <w:ind w:left="360"/>
      </w:pPr>
      <w:r>
        <w:rPr>
          <w:b/>
          <w:sz w:val="20"/>
        </w:rPr>
        <w:t xml:space="preserve">Anchor: </w:t>
      </w:r>
      <w:r>
        <w:rPr>
          <w:sz w:val="20"/>
        </w:rPr>
        <w:t>each of our autonomous driving products and solutions and intelligent imaging solutions fall within an acceptable sector</w:t>
      </w:r>
    </w:p>
    <w:p>
      <w:pPr>
        <w:spacing w:before="120"/>
      </w:pPr>
      <w:r>
        <w:rPr>
          <w:b/>
          <w:sz w:val="22"/>
        </w:rPr>
        <w:t>Rule P2</w:t>
      </w:r>
      <w:r>
        <w:t xml:space="preserve"> — Commercial or Pre-Commercial Classification</w:t>
      </w:r>
      <w:r>
        <w:t xml:space="preserve">   </w:t>
      </w:r>
      <w:r>
        <w:rPr>
          <w:b/>
          <w:color w:val="1A7A3C"/>
        </w:rPr>
        <w:t>[clear]</w:t>
      </w:r>
    </w:p>
    <w:p>
      <w:pPr>
        <w:spacing w:before="0" w:after="0"/>
        <w:ind w:left="360"/>
      </w:pPr>
      <w:r>
        <w:rPr>
          <w:b/>
          <w:sz w:val="20"/>
        </w:rPr>
        <w:t xml:space="preserve">Analysis: </w:t>
      </w:r>
      <w:r>
        <w:rPr>
          <w:sz w:val="20"/>
        </w:rPr>
        <w:t>The prospectus classifies the applicant as a Commercial Company. The Financial Information chapter (tier1/financial_information, page 366) discloses revenue of RMB312.4 million for the most recent financial year (ended Dec 31, 2023). This figure exceeds the HK$250 million threshold (PARAM_COMM_REV_MIN) required for Commercial Company status under MB Rule 18C.03(4). The classification is explicitly confirmed in tier1/information_about_this_prospectus_and_the_global_offering, page 125.</w:t>
      </w:r>
    </w:p>
    <w:p>
      <w:pPr>
        <w:spacing w:before="0" w:after="0"/>
        <w:ind w:left="360"/>
      </w:pPr>
      <w:r>
        <w:rPr>
          <w:b/>
          <w:sz w:val="20"/>
        </w:rPr>
        <w:t xml:space="preserve">Source: </w:t>
      </w:r>
      <w:r>
        <w:rPr>
          <w:sz w:val="20"/>
        </w:rPr>
        <w:t>tier1/information_about_this_prospectus_and_the_global_offering</w:t>
      </w:r>
    </w:p>
    <w:p>
      <w:pPr>
        <w:spacing w:before="0" w:after="0"/>
        <w:ind w:left="360"/>
      </w:pPr>
      <w:r>
        <w:rPr>
          <w:b/>
          <w:sz w:val="20"/>
        </w:rPr>
        <w:t xml:space="preserve">Page: </w:t>
      </w:r>
      <w:r>
        <w:rPr>
          <w:sz w:val="20"/>
        </w:rPr>
        <w:t>125</w:t>
      </w:r>
    </w:p>
    <w:p>
      <w:pPr>
        <w:spacing w:before="0" w:after="0"/>
        <w:ind w:left="360"/>
      </w:pPr>
      <w:r>
        <w:rPr>
          <w:b/>
          <w:sz w:val="20"/>
        </w:rPr>
        <w:t xml:space="preserve">Anchor: </w:t>
      </w:r>
      <w:r>
        <w:rPr>
          <w:sz w:val="20"/>
        </w:rPr>
        <w:t>we satisfy the requirements under Rule 18C.03 of the Listing Rules as a Commercial Company</w:t>
      </w:r>
    </w:p>
    <w:p>
      <w:pPr>
        <w:spacing w:before="120"/>
      </w:pPr>
      <w:r>
        <w:rPr>
          <w:b/>
          <w:sz w:val="22"/>
        </w:rPr>
        <w:t>Rule P3</w:t>
      </w:r>
      <w:r>
        <w:t xml:space="preserve"> — Market Capitalisation Tier</w:t>
      </w:r>
      <w:r>
        <w:t xml:space="preserve">   </w:t>
      </w:r>
      <w:r>
        <w:rPr>
          <w:b/>
          <w:color w:val="1A7A3C"/>
        </w:rPr>
        <w:t>[clear]</w:t>
      </w:r>
    </w:p>
    <w:p>
      <w:pPr>
        <w:spacing w:before="0" w:after="0"/>
        <w:ind w:left="360"/>
      </w:pPr>
      <w:r>
        <w:rPr>
          <w:b/>
          <w:sz w:val="20"/>
        </w:rPr>
        <w:t xml:space="preserve">Analysis: </w:t>
      </w:r>
      <w:r>
        <w:rPr>
          <w:sz w:val="20"/>
        </w:rPr>
        <w:t>The prospectus discloses an expected market capitalization. The Pre-IPO Investments section (tier2/pre_ipo_investment, page 195) states an assumption that the 'expected market capitalization at the time of Listing will exceed HK$15 billion'. This places the company in the 'HK$15-30bn' tier for the purpose of the aggregate SII threshold table in para 26(ii) of the Guide. This expected market cap also exceeds the minimum requirement of HK$4bn for a Commercial Company (PARAM_MKTCAP_COMM_MIN).</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assuming that our expected market capitalization at the time of Listing will exceed HK$15 billion</w:t>
      </w:r>
    </w:p>
    <w:p/>
    <w:p>
      <w:pPr>
        <w:pStyle w:val="Heading2"/>
      </w:pPr>
      <w:r>
        <w:t>Module A: Independence of Sophisticated Investors (Paras 17–19)</w:t>
      </w:r>
    </w:p>
    <w:p>
      <w:pPr>
        <w:spacing w:before="120"/>
      </w:pPr>
      <w:r>
        <w:rPr>
          <w:b/>
          <w:sz w:val="22"/>
        </w:rPr>
        <w:t>Rule A1</w:t>
      </w:r>
      <w:r>
        <w:t xml:space="preserve"> — Date of Independence Assessment</w:t>
      </w:r>
      <w:r>
        <w:t xml:space="preserve">   </w:t>
      </w:r>
      <w:r>
        <w:rPr>
          <w:b/>
          <w:color w:val="E67E00"/>
        </w:rPr>
        <w:t>[has_issues]</w:t>
      </w:r>
    </w:p>
    <w:p>
      <w:pPr>
        <w:spacing w:before="0" w:after="0"/>
        <w:ind w:left="360"/>
      </w:pPr>
      <w:r>
        <w:rPr>
          <w:b/>
          <w:sz w:val="20"/>
        </w:rPr>
        <w:t xml:space="preserve">Analysis: </w:t>
      </w:r>
      <w:r>
        <w:rPr>
          <w:sz w:val="20"/>
        </w:rPr>
        <w:t>The prospectus fails to disclose the specific definitive agreement date for each SII, which is required by para 17 of the Guide to establish the anchor date for the independence assessment. Furthermore, it makes a generic statement about independence covering all SIIs, rather than providing a specific confirmation for each SII.</w:t>
      </w:r>
    </w:p>
    <w:p>
      <w:pPr>
        <w:ind w:left="360"/>
      </w:pPr>
      <w:r>
        <w:rPr>
          <w:b/>
          <w:sz w:val="20"/>
        </w:rPr>
        <w:t>Finding 1: Disclosure [Critical / Absent]</w:t>
      </w:r>
    </w:p>
    <w:p>
      <w:pPr>
        <w:spacing w:before="0" w:after="0"/>
        <w:ind w:left="360"/>
      </w:pPr>
      <w:r>
        <w:rPr>
          <w:b/>
          <w:sz w:val="20"/>
        </w:rPr>
        <w:t xml:space="preserve">Explanation: </w:t>
      </w:r>
      <w:r>
        <w:rPr>
          <w:sz w:val="20"/>
        </w:rPr>
        <w:t>Per para 17 of the Guide, independence is determined as at the date of signing of the definitive agreement. The prospectus (tier2/pre_ipo_investment, page 191, footnote 1) refers to this date indirectly but does not disclose the specific calendar date for any of the nine SIIs. This prevents verification of the independence assessment timeline.</w:t>
      </w:r>
    </w:p>
    <w:p>
      <w:pPr>
        <w:spacing w:before="0" w:after="0"/>
        <w:ind w:left="360"/>
      </w:pPr>
      <w:r>
        <w:rPr>
          <w:b/>
          <w:sz w:val="20"/>
        </w:rPr>
        <w:t xml:space="preserve">Recommendation: </w:t>
      </w:r>
      <w:r>
        <w:rPr>
          <w:sz w:val="20"/>
        </w:rPr>
        <w:t>For each SII, disclose the specific calendar date of the signing of the definitive investment agreement.</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not more than six months prior to the date on which the relevant investor signed the relevant definitive agreement</w:t>
      </w:r>
    </w:p>
    <w:p>
      <w:pPr>
        <w:ind w:left="360"/>
      </w:pPr>
      <w:r>
        <w:rPr>
          <w:b/>
          <w:sz w:val="20"/>
        </w:rPr>
        <w:t>Finding 2: Language [Critical / Insufficient]</w:t>
      </w:r>
    </w:p>
    <w:p>
      <w:pPr>
        <w:spacing w:before="0" w:after="0"/>
        <w:ind w:left="360"/>
      </w:pPr>
      <w:r>
        <w:rPr>
          <w:b/>
          <w:sz w:val="20"/>
        </w:rPr>
        <w:t xml:space="preserve">Explanation: </w:t>
      </w:r>
      <w:r>
        <w:rPr>
          <w:sz w:val="20"/>
        </w:rPr>
        <w:t>The prospectus makes a generic statement on page 186 of tier2/pre_ipo_investment that 'each of our Sophisticated Independent Investors is independent from and not connected with...'. Rule A1 requires a specific statement of independence as at the definitive agreement date and up to listing for each individual SII, which is not provided.</w:t>
      </w:r>
    </w:p>
    <w:p>
      <w:pPr>
        <w:spacing w:before="0" w:after="0"/>
        <w:ind w:left="360"/>
      </w:pPr>
      <w:r>
        <w:rPr>
          <w:b/>
          <w:sz w:val="20"/>
        </w:rPr>
        <w:t xml:space="preserve">Recommendation: </w:t>
      </w:r>
      <w:r>
        <w:rPr>
          <w:sz w:val="20"/>
        </w:rPr>
        <w:t>Replace the single generic statement with a specific confirmation of independence for each of the nine SIIs, referencing the definitive agreement date and confirming independence is maintained up to listing.</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each of our Sophisticated Independent Investors is independent from and not connected with</w:t>
      </w:r>
    </w:p>
    <w:p>
      <w:pPr>
        <w:spacing w:before="120"/>
      </w:pPr>
      <w:r>
        <w:rPr>
          <w:b/>
          <w:sz w:val="22"/>
        </w:rPr>
        <w:t>Rule A2</w:t>
      </w:r>
      <w:r>
        <w:t xml:space="preserve"> — Core Connected Persons Excluded</w:t>
      </w:r>
      <w:r>
        <w:t xml:space="preserve">   </w:t>
      </w:r>
      <w:r>
        <w:rPr>
          <w:b/>
          <w:color w:val="E67E00"/>
        </w:rPr>
        <w:t>[has_issues]</w:t>
      </w:r>
    </w:p>
    <w:p>
      <w:pPr>
        <w:spacing w:before="0" w:after="0"/>
        <w:ind w:left="360"/>
      </w:pPr>
      <w:r>
        <w:rPr>
          <w:b/>
          <w:sz w:val="20"/>
        </w:rPr>
        <w:t xml:space="preserve">Analysis: </w:t>
      </w:r>
      <w:r>
        <w:rPr>
          <w:sz w:val="20"/>
        </w:rPr>
        <w:t>The prospectus asserts that SIIs are not core connected persons. However, it discloses that a non-executive Director, Dr. YANG Lei, was a partner at Northern Light Venture Capital, the manager of a Pathfinder SII. This relationship makes the SII's manager an associate of a core connected person (the Director), potentially compromising independence under para 18(i). The prospectus fails to provide a reasoned analysis to mitigate this concern.</w:t>
      </w:r>
    </w:p>
    <w:p>
      <w:pPr>
        <w:ind w:left="360"/>
      </w:pPr>
      <w:r>
        <w:rPr>
          <w:b/>
          <w:sz w:val="20"/>
        </w:rPr>
        <w:t>Finding 1: Reasoning [Critical / Insufficient]</w:t>
      </w:r>
    </w:p>
    <w:p>
      <w:pPr>
        <w:spacing w:before="0" w:after="0"/>
        <w:ind w:left="360"/>
      </w:pPr>
      <w:r>
        <w:rPr>
          <w:b/>
          <w:sz w:val="20"/>
        </w:rPr>
        <w:t xml:space="preserve">Explanation: </w:t>
      </w:r>
      <w:r>
        <w:rPr>
          <w:sz w:val="20"/>
        </w:rPr>
        <w:t>The prospectus discloses on page 186 of tier2/pre_ipo_investment that Dr. YANG Lei, a non-executive Director, was a partner at Northern Light Venture Capital until October 2021. Northern Light Venture Capital manages the Northern Light SIIs, a Pathfinder SII. A Director is a core connected person. The manager of the SII is therefore an associate of a core connected person. This relationship appears to contradict the independence requirement under para 18(i) of the Guide. The prospectus does not explain why this relationship does not affect the independence of the Northern Light SIIs.</w:t>
      </w:r>
    </w:p>
    <w:p>
      <w:pPr>
        <w:spacing w:before="0" w:after="0"/>
        <w:ind w:left="360"/>
      </w:pPr>
      <w:r>
        <w:rPr>
          <w:b/>
          <w:sz w:val="20"/>
        </w:rPr>
        <w:t xml:space="preserve">Recommendation: </w:t>
      </w:r>
      <w:r>
        <w:rPr>
          <w:sz w:val="20"/>
        </w:rPr>
        <w:t>Provide a detailed explanation and legal analysis of why the past partnership of a Director with the manager of a Pathfinder SII does not compromise the SII's independence under para 18(i), addressing the 'associate of a core connected person' issue.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Dr. YANG Lei, our non-executive Director, was a partner at Northern Light Venture Capital</w:t>
      </w:r>
    </w:p>
    <w:p>
      <w:pPr>
        <w:ind w:left="360"/>
      </w:pPr>
      <w:r>
        <w:rPr>
          <w:b/>
          <w:sz w:val="20"/>
        </w:rPr>
        <w:t>Finding 2: Consistency [Critical / Insufficient]</w:t>
      </w:r>
    </w:p>
    <w:p>
      <w:pPr>
        <w:spacing w:before="0" w:after="0"/>
        <w:ind w:left="360"/>
      </w:pPr>
      <w:r>
        <w:rPr>
          <w:b/>
          <w:sz w:val="20"/>
        </w:rPr>
        <w:t xml:space="preserve">Explanation: </w:t>
      </w:r>
      <w:r>
        <w:rPr>
          <w:sz w:val="20"/>
        </w:rPr>
        <w:t>The generic independence statement on page 186 of tier2/pre_ipo_investment is inconsistent with the specific disclosure on the same page regarding Dr. Yang's connection to Northern Light Venture Capital. The cross-reference against tier1/directors_mgmt, page 316, confirms Dr. Yang's role and dates. The prospectus fails to reconcile these conflicting pieces of information.</w:t>
      </w:r>
    </w:p>
    <w:p>
      <w:pPr>
        <w:spacing w:before="0" w:after="0"/>
        <w:ind w:left="360"/>
      </w:pPr>
      <w:r>
        <w:rPr>
          <w:b/>
          <w:sz w:val="20"/>
        </w:rPr>
        <w:t xml:space="preserve">Recommendation: </w:t>
      </w:r>
      <w:r>
        <w:rPr>
          <w:sz w:val="20"/>
        </w:rPr>
        <w:t>Reconcile the generic independence statement with the specific disclosure about Dr. Yang's past role. Either remove the generic statement or qualify it with a full explanation of the relationship and its impact on independence.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independent from and not connected with any Director... Dr. YANG Lei, our non-executive Director, was a partner at Northern Light</w:t>
      </w:r>
    </w:p>
    <w:p>
      <w:pPr>
        <w:spacing w:before="120"/>
      </w:pPr>
      <w:r>
        <w:rPr>
          <w:b/>
          <w:sz w:val="22"/>
        </w:rPr>
        <w:t>Rule A3</w:t>
      </w:r>
      <w:r>
        <w:t xml:space="preserve"> — Controlling Shareholders Excluded</w:t>
      </w:r>
      <w:r>
        <w:t xml:space="preserve">   </w:t>
      </w:r>
      <w:r>
        <w:rPr>
          <w:b/>
          <w:color w:val="1A7A3C"/>
        </w:rPr>
        <w:t>[clear]</w:t>
      </w:r>
    </w:p>
    <w:p>
      <w:pPr>
        <w:spacing w:before="0" w:after="0"/>
        <w:ind w:left="360"/>
      </w:pPr>
      <w:r>
        <w:rPr>
          <w:b/>
          <w:sz w:val="20"/>
        </w:rPr>
        <w:t xml:space="preserve">Analysis: </w:t>
      </w:r>
      <w:r>
        <w:rPr>
          <w:sz w:val="20"/>
        </w:rPr>
        <w:t>The prospectus states on page 330 of tier1/cap_table that upon listing, the company will not have any controlling shareholders as defined under the Listing Rules, although Mr. Shan will be the Single Largest Shareholder. A cross-reference of the SII list against disclosures for Mr. Shan and his associates shows no overlap, satisfying para 18(ii) of the Guide.</w:t>
      </w:r>
    </w:p>
    <w:p>
      <w:pPr>
        <w:spacing w:before="0" w:after="0"/>
        <w:ind w:left="360"/>
      </w:pPr>
      <w:r>
        <w:rPr>
          <w:b/>
          <w:sz w:val="20"/>
        </w:rPr>
        <w:t xml:space="preserve">Source: </w:t>
      </w:r>
      <w:r>
        <w:rPr>
          <w:sz w:val="20"/>
        </w:rPr>
        <w:t>tier1/cap_table</w:t>
      </w:r>
    </w:p>
    <w:p>
      <w:pPr>
        <w:spacing w:before="0" w:after="0"/>
        <w:ind w:left="360"/>
      </w:pPr>
      <w:r>
        <w:rPr>
          <w:b/>
          <w:sz w:val="20"/>
        </w:rPr>
        <w:t xml:space="preserve">Page: </w:t>
      </w:r>
      <w:r>
        <w:rPr>
          <w:sz w:val="20"/>
        </w:rPr>
        <w:t>330</w:t>
      </w:r>
    </w:p>
    <w:p>
      <w:pPr>
        <w:spacing w:before="0" w:after="0"/>
        <w:ind w:left="360"/>
      </w:pPr>
      <w:r>
        <w:rPr>
          <w:b/>
          <w:sz w:val="20"/>
        </w:rPr>
        <w:t xml:space="preserve">Anchor: </w:t>
      </w:r>
      <w:r>
        <w:rPr>
          <w:sz w:val="20"/>
        </w:rPr>
        <w:t>our Company will not have any controlling shareholders as defined under the Listing Rules</w:t>
      </w:r>
    </w:p>
    <w:p>
      <w:pPr>
        <w:spacing w:before="120"/>
      </w:pPr>
      <w:r>
        <w:rPr>
          <w:b/>
          <w:sz w:val="22"/>
        </w:rPr>
        <w:t>Rule A4</w:t>
      </w:r>
      <w:r>
        <w:t xml:space="preserve"> — Founder and Close Associates Excluded</w:t>
      </w:r>
      <w:r>
        <w:t xml:space="preserve">   </w:t>
      </w:r>
      <w:r>
        <w:rPr>
          <w:b/>
          <w:color w:val="1A7A3C"/>
        </w:rPr>
        <w:t>[clear]</w:t>
      </w:r>
    </w:p>
    <w:p>
      <w:pPr>
        <w:spacing w:before="0" w:after="0"/>
        <w:ind w:left="360"/>
      </w:pPr>
      <w:r>
        <w:rPr>
          <w:b/>
          <w:sz w:val="20"/>
        </w:rPr>
        <w:t xml:space="preserve">Analysis: </w:t>
      </w:r>
      <w:r>
        <w:rPr>
          <w:sz w:val="20"/>
        </w:rPr>
        <w:t>The founders are identified as Mr. Shan and Mr. Liu in tier1/directors_mgmt, page 312. A review of the SII list in tier2/pre_ipo_investment on pages 186-191 confirms that neither the founders nor their close associates are listed as SIIs, in compliance with para 18(iii)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Each of the ultimate beneficial owners of the Pre-IPO Investors is an Independent Third Party.</w:t>
      </w:r>
    </w:p>
    <w:p>
      <w:pPr>
        <w:spacing w:before="120"/>
      </w:pPr>
      <w:r>
        <w:rPr>
          <w:b/>
          <w:sz w:val="22"/>
        </w:rPr>
        <w:t>Rule A5</w:t>
      </w:r>
      <w:r>
        <w:t xml:space="preserve"> — Acting-in-Concert and Prior Business Relationships</w:t>
      </w:r>
      <w:r>
        <w:t xml:space="preserve">   </w:t>
      </w:r>
      <w:r>
        <w:rPr>
          <w:b/>
          <w:color w:val="E67E00"/>
        </w:rPr>
        <w:t>[has_issues]</w:t>
      </w:r>
    </w:p>
    <w:p>
      <w:pPr>
        <w:spacing w:before="0" w:after="0"/>
        <w:ind w:left="360"/>
      </w:pPr>
      <w:r>
        <w:rPr>
          <w:b/>
          <w:sz w:val="20"/>
        </w:rPr>
        <w:t xml:space="preserve">Analysis: </w:t>
      </w:r>
      <w:r>
        <w:rPr>
          <w:sz w:val="20"/>
        </w:rPr>
        <w:t>The prospectus discloses prior business relationships for SIIs Geely and SAIC Motor, and a past employment relationship for the manager of Pathfinder SII Northern Light. However, it fails to provide the detailed disclosure of mitigating factors (timing, operational involvement, commercial terms) required by para 19 of the Guide to substantiate their independence.</w:t>
      </w:r>
    </w:p>
    <w:p>
      <w:pPr>
        <w:ind w:left="360"/>
      </w:pPr>
      <w:r>
        <w:rPr>
          <w:b/>
          <w:sz w:val="20"/>
        </w:rPr>
        <w:t>Finding 1: Disclosure [High / Insufficient]</w:t>
      </w:r>
    </w:p>
    <w:p>
      <w:pPr>
        <w:spacing w:before="0" w:after="0"/>
        <w:ind w:left="360"/>
      </w:pPr>
      <w:r>
        <w:rPr>
          <w:b/>
          <w:sz w:val="20"/>
        </w:rPr>
        <w:t xml:space="preserve">Explanation: </w:t>
      </w:r>
      <w:r>
        <w:rPr>
          <w:sz w:val="20"/>
        </w:rPr>
        <w:t>Per para 19 of the Guide, prior business relationships require disclosure of mitigating factors. For Geely and SAIC Motor SIIs, tier2/pre_ipo_investment page 191 states acquaintance was through 'discussions on business cooperations' and mentions cooperation agreements. However, it does not sufficiently detail the timing, duration, nature of operational involvement, or commercial terms of these relationships to allow an assessment of their impact on independence.</w:t>
      </w:r>
    </w:p>
    <w:p>
      <w:pPr>
        <w:spacing w:before="0" w:after="0"/>
        <w:ind w:left="360"/>
      </w:pPr>
      <w:r>
        <w:rPr>
          <w:b/>
          <w:sz w:val="20"/>
        </w:rPr>
        <w:t xml:space="preserve">Recommendation: </w:t>
      </w:r>
      <w:r>
        <w:rPr>
          <w:sz w:val="20"/>
        </w:rPr>
        <w:t>For Geely SII and SAIC Motor SII, disclose the specific timing, duration, operational involvement, and commercial terms of the business relationships to demonstrate that independence is not compromised.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acquainted with Geely SII through discussions on business cooperations.</w:t>
      </w:r>
    </w:p>
    <w:p>
      <w:pPr>
        <w:spacing w:before="120"/>
      </w:pPr>
      <w:r>
        <w:rPr>
          <w:b/>
          <w:sz w:val="22"/>
        </w:rPr>
        <w:t>Rule A6</w:t>
      </w:r>
      <w:r>
        <w:t xml:space="preserve"> — Board Representation by SII</w:t>
      </w:r>
      <w:r>
        <w:t xml:space="preserve">   </w:t>
      </w:r>
      <w:r>
        <w:rPr>
          <w:b/>
          <w:color w:val="E67E00"/>
        </w:rPr>
        <w:t>[has_issues]</w:t>
      </w:r>
    </w:p>
    <w:p>
      <w:pPr>
        <w:spacing w:before="0" w:after="0"/>
        <w:ind w:left="360"/>
      </w:pPr>
      <w:r>
        <w:rPr>
          <w:b/>
          <w:sz w:val="20"/>
        </w:rPr>
        <w:t xml:space="preserve">Analysis: </w:t>
      </w:r>
      <w:r>
        <w:rPr>
          <w:sz w:val="20"/>
        </w:rPr>
        <w:t>A non-executive Director, Dr. Yang, was a partner at the manager of a Pathfinder SII (Northern Light). This constitutes a form of board representation or close link. The prospectus fails to disclose whether Northern Light has or had a right to nominate a director and does not state whether the SII is a close associate of the director, as required by footnote 8 of the Guide.</w:t>
      </w:r>
    </w:p>
    <w:p>
      <w:pPr>
        <w:ind w:left="360"/>
      </w:pPr>
      <w:r>
        <w:rPr>
          <w:b/>
          <w:sz w:val="20"/>
        </w:rPr>
        <w:t>Finding 1: Disclosure [High / Absent]</w:t>
      </w:r>
    </w:p>
    <w:p>
      <w:pPr>
        <w:spacing w:before="0" w:after="0"/>
        <w:ind w:left="360"/>
      </w:pPr>
      <w:r>
        <w:rPr>
          <w:b/>
          <w:sz w:val="20"/>
        </w:rPr>
        <w:t xml:space="preserve">Explanation: </w:t>
      </w:r>
      <w:r>
        <w:rPr>
          <w:sz w:val="20"/>
        </w:rPr>
        <w:t>Footnote 8 of the Guide allows an SII to have a board seat if they are not a close associate of the director. Dr. Yang, a non-executive Director, has a past connection with Pathfinder SII Northern Light's manager. The prospectus (tier2/pre_ipo_investment, page 186) does not disclose whether Northern Light has or had any board nomination rights, nor does it state whether the SII is a close associate of Dr. Yang. This information is required to assess independence in this context.</w:t>
      </w:r>
    </w:p>
    <w:p>
      <w:pPr>
        <w:spacing w:before="0" w:after="0"/>
        <w:ind w:left="360"/>
      </w:pPr>
      <w:r>
        <w:rPr>
          <w:b/>
          <w:sz w:val="20"/>
        </w:rPr>
        <w:t xml:space="preserve">Recommendation: </w:t>
      </w:r>
      <w:r>
        <w:rPr>
          <w:sz w:val="20"/>
        </w:rPr>
        <w:t>Disclose whether Northern Light SIIs (or their manager) have or had any right to nominate a director. State and explain the basis for the conclusion that the SII is not a close associate of Dr. Yang.</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Dr. YANG Lei, our non-executive Director, was a partner at Northern Light Venture Capital</w:t>
      </w:r>
    </w:p>
    <w:p/>
    <w:p>
      <w:pPr>
        <w:pStyle w:val="Heading2"/>
      </w:pPr>
      <w:r>
        <w:t>Module B: Sophistication of Investors (Paras 20–24)</w:t>
      </w:r>
    </w:p>
    <w:p>
      <w:pPr>
        <w:spacing w:before="120"/>
      </w:pPr>
      <w:r>
        <w:rPr>
          <w:b/>
          <w:sz w:val="22"/>
        </w:rPr>
        <w:t>Rule B1</w:t>
      </w:r>
      <w:r>
        <w:t xml:space="preserve"> — Sophistication Requirement Generally</w:t>
      </w:r>
      <w:r>
        <w:t xml:space="preserve">   </w:t>
      </w:r>
      <w:r>
        <w:rPr>
          <w:b/>
          <w:color w:val="1A7A3C"/>
        </w:rPr>
        <w:t>[clear]</w:t>
      </w:r>
    </w:p>
    <w:p>
      <w:pPr>
        <w:spacing w:before="0" w:after="0"/>
        <w:ind w:left="360"/>
      </w:pPr>
      <w:r>
        <w:rPr>
          <w:b/>
          <w:sz w:val="20"/>
        </w:rPr>
        <w:t xml:space="preserve">Analysis: </w:t>
      </w:r>
      <w:r>
        <w:rPr>
          <w:sz w:val="20"/>
        </w:rPr>
        <w:t>The prospectus provides a distinct sophistication analysis for each of the nine SIIs, as detailed in tier2/pre_ipo_investment on pages 186-191. Each analysis identifies the specific basis under para 21 of the Guide being relied upon (e.g., AUM, diverse portfolio, tech focus, or key market participant). This satisfies the general requirement of para 20.</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Set out below is a description of our Sophisticated Independent Investors</w:t>
      </w:r>
    </w:p>
    <w:p>
      <w:pPr>
        <w:spacing w:before="120"/>
      </w:pPr>
      <w:r>
        <w:rPr>
          <w:b/>
          <w:sz w:val="22"/>
        </w:rPr>
        <w:t>Rule B2</w:t>
      </w:r>
      <w:r>
        <w:t xml:space="preserve"> — Asset Management / Fund Threshold</w:t>
      </w:r>
      <w:r>
        <w:t xml:space="preserve">   </w:t>
      </w:r>
      <w:r>
        <w:rPr>
          <w:b/>
          <w:color w:val="1A7A3C"/>
        </w:rPr>
        <w:t>[clear]</w:t>
      </w:r>
    </w:p>
    <w:p>
      <w:pPr>
        <w:spacing w:before="0" w:after="0"/>
        <w:ind w:left="360"/>
      </w:pPr>
      <w:r>
        <w:rPr>
          <w:b/>
          <w:sz w:val="20"/>
        </w:rPr>
        <w:t xml:space="preserve">Analysis: </w:t>
      </w:r>
      <w:r>
        <w:rPr>
          <w:sz w:val="20"/>
        </w:rPr>
        <w:t>This rule is triggered for Northern Light SIIs, BOCGI SII, and Future Industry Fund. For Northern Light, the manager's AUM is disclosed as HK$17.69bn and HK$31.19bn at the two reference dates, both exceeding the HK$15bn threshold (PARAM_B2_AUM_MIN). For BOCGI, AUM is HK$118.7bn and HK$124.92bn, exceeding the threshold. For Future Industry Fund, the manager's AUM is RMB59bn and RMB57.6bn, both exceeding the threshold. The disclosures satisfy para 21(i).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AUM of Northern Light Venture Capital was approximately HK$17.69 billion</w:t>
      </w:r>
    </w:p>
    <w:p>
      <w:pPr>
        <w:spacing w:before="120"/>
      </w:pPr>
      <w:r>
        <w:rPr>
          <w:b/>
          <w:sz w:val="22"/>
        </w:rPr>
        <w:t>Rule B3</w:t>
      </w:r>
      <w:r>
        <w:t xml:space="preserve"> — Corporate Portfolio Threshold</w:t>
      </w:r>
      <w:r>
        <w:t xml:space="preserve">   </w:t>
      </w:r>
      <w:r>
        <w:rPr>
          <w:b/>
          <w:color w:val="E67E00"/>
        </w:rPr>
        <w:t>[has_issues]</w:t>
      </w:r>
    </w:p>
    <w:p>
      <w:pPr>
        <w:spacing w:before="0" w:after="0"/>
        <w:ind w:left="360"/>
      </w:pPr>
      <w:r>
        <w:rPr>
          <w:b/>
          <w:sz w:val="20"/>
        </w:rPr>
        <w:t xml:space="preserve">Analysis: </w:t>
      </w:r>
      <w:r>
        <w:rPr>
          <w:sz w:val="20"/>
        </w:rPr>
        <w:t>This rule is triggered for Xiaomi SII and Tencent SII. While both disclose portfolio sizes well in excess of the HK$15bn threshold (PARAM_B3_PORT_MIN), the prospectus merely asserts the portfolios are 'diverse' without providing any description of their breadth to substantiate this claim, as required by para 21(ii).</w:t>
      </w:r>
    </w:p>
    <w:p>
      <w:pPr>
        <w:ind w:left="360"/>
      </w:pPr>
      <w:r>
        <w:rPr>
          <w:b/>
          <w:sz w:val="20"/>
        </w:rPr>
        <w:t>Finding 1: Reasoning [Critical / Insufficient]</w:t>
      </w:r>
    </w:p>
    <w:p>
      <w:pPr>
        <w:spacing w:before="0" w:after="0"/>
        <w:ind w:left="360"/>
      </w:pPr>
      <w:r>
        <w:rPr>
          <w:b/>
          <w:sz w:val="20"/>
        </w:rPr>
        <w:t xml:space="preserve">Explanation: </w:t>
      </w:r>
      <w:r>
        <w:rPr>
          <w:sz w:val="20"/>
        </w:rPr>
        <w:t>For both Xiaomi SII (page 189) and Tencent SII (page 189), the prospectus claims they have a 'diverse investment portfolio' but provides no details on the composition, sector allocation, or number of holdings to substantiate the claim of diversity. Per para 21(ii), a portfolio concentrated in a single company or sector is not considered diverse. The assertion of diversity without a descriptive basis is insufficient.</w:t>
      </w:r>
    </w:p>
    <w:p>
      <w:pPr>
        <w:spacing w:before="0" w:after="0"/>
        <w:ind w:left="360"/>
      </w:pPr>
      <w:r>
        <w:rPr>
          <w:b/>
          <w:sz w:val="20"/>
        </w:rPr>
        <w:t xml:space="preserve">Recommendation: </w:t>
      </w:r>
      <w:r>
        <w:rPr>
          <w:sz w:val="20"/>
        </w:rPr>
        <w:t>For both Xiaomi SII and Tencent SII, provide a brief description of their investment portfolios that explains in what sense they are 'diverse' (e.g., number of portfolio companies, range of sectors invested in).</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Xiaomi Corporation has a diverse investment portfolio of approximately RMB74.5 billion</w:t>
      </w:r>
    </w:p>
    <w:p>
      <w:pPr>
        <w:spacing w:before="120"/>
      </w:pPr>
      <w:r>
        <w:rPr>
          <w:b/>
          <w:sz w:val="22"/>
        </w:rPr>
        <w:t>Rule B4</w:t>
      </w:r>
      <w:r>
        <w:t xml:space="preserve"> — Specialist Technology Focus Threshold</w:t>
      </w:r>
      <w:r>
        <w:t xml:space="preserve">   </w:t>
      </w:r>
      <w:r>
        <w:rPr>
          <w:b/>
          <w:color w:val="E67E00"/>
        </w:rPr>
        <w:t>[has_issues]</w:t>
      </w:r>
    </w:p>
    <w:p>
      <w:pPr>
        <w:spacing w:before="0" w:after="0"/>
        <w:ind w:left="360"/>
      </w:pPr>
      <w:r>
        <w:rPr>
          <w:b/>
          <w:sz w:val="20"/>
        </w:rPr>
        <w:t xml:space="preserve">Analysis: </w:t>
      </w:r>
      <w:r>
        <w:rPr>
          <w:sz w:val="20"/>
        </w:rPr>
        <w:t>This rule is triggered for Oceanpine SIIs and SummitView SIIs. For Oceanpine, the disclosure appears adequate. For SummitView, the disclosure for the first reference date states AUM was HK$13.2bn 'with more than HK$5 billion in Specialist Technology Companies'. This meets the HK$5bn threshold (PARAM_B4_TECH_MIN) but fails to substantiate that the value is 'primarily derived' from such investments, as required by para 21(iii).</w:t>
      </w:r>
    </w:p>
    <w:p>
      <w:pPr>
        <w:ind w:left="360"/>
      </w:pPr>
      <w:r>
        <w:rPr>
          <w:b/>
          <w:sz w:val="20"/>
        </w:rPr>
        <w:t>Finding 1: Reasoning [Critical / Insufficient]</w:t>
      </w:r>
    </w:p>
    <w:p>
      <w:pPr>
        <w:spacing w:before="0" w:after="0"/>
        <w:ind w:left="360"/>
      </w:pPr>
      <w:r>
        <w:rPr>
          <w:b/>
          <w:sz w:val="20"/>
        </w:rPr>
        <w:t xml:space="preserve">Explanation: </w:t>
      </w:r>
      <w:r>
        <w:rPr>
          <w:sz w:val="20"/>
        </w:rPr>
        <w:t>For SummitView SIIs, the disclosure for the first reference date (Dec 31, 2020) states AUM of HK$13.2bn with 'more than HK$5 billion' in Specialist Technology. While this meets the HK$5bn monetary threshold, it does not demonstrate that the portfolio's value is 'primarily derived' (i.e., &gt;50%) from such investments, as HK$5bn is less than 50% of HK$13.2bn. This is insufficient to satisfy para 21(iii).</w:t>
      </w:r>
    </w:p>
    <w:p>
      <w:pPr>
        <w:spacing w:before="0" w:after="0"/>
        <w:ind w:left="360"/>
      </w:pPr>
      <w:r>
        <w:rPr>
          <w:b/>
          <w:sz w:val="20"/>
        </w:rPr>
        <w:t xml:space="preserve">Recommendation: </w:t>
      </w:r>
      <w:r>
        <w:rPr>
          <w:sz w:val="20"/>
        </w:rPr>
        <w:t>For SummitView SIIs, clarify the proportion of the portfolio derived from Specialist Technology investments as of the first reference date to demonstrate that it constitutes the majority of the portfolio's value.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AUM of SummitView Capital (M&amp;A) was approximately HK$13.2 billion as of 31 December 2020(1) with more than HK$5 billion</w:t>
      </w:r>
    </w:p>
    <w:p>
      <w:pPr>
        <w:spacing w:before="120"/>
      </w:pPr>
      <w:r>
        <w:rPr>
          <w:b/>
          <w:sz w:val="22"/>
        </w:rPr>
        <w:t>Rule B5</w:t>
      </w:r>
      <w:r>
        <w:t xml:space="preserve"> — Key Market Participant</w:t>
      </w:r>
      <w:r>
        <w:t xml:space="preserve">   </w:t>
      </w:r>
      <w:r>
        <w:rPr>
          <w:b/>
          <w:color w:val="1A7A3C"/>
        </w:rPr>
        <w:t>[clear]</w:t>
      </w:r>
    </w:p>
    <w:p>
      <w:pPr>
        <w:spacing w:before="0" w:after="0"/>
        <w:ind w:left="360"/>
      </w:pPr>
      <w:r>
        <w:rPr>
          <w:b/>
          <w:sz w:val="20"/>
        </w:rPr>
        <w:t xml:space="preserve">Analysis: </w:t>
      </w:r>
      <w:r>
        <w:rPr>
          <w:sz w:val="20"/>
        </w:rPr>
        <w:t>This rule is triggered for Geely SII and SAIC Motor SII. The prospectus (tier2/pre_ipo_investment, page 191) identifies both as 'key participant[s] in the downstream automotive industry in terms of sales volume' and cites Frost &amp; Sullivan as the source of independent market data, satisfying the requirements of para 21(iv).</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Geely Automobile Holdings Limited is a key participant in the downstream automotive industry</w:t>
      </w:r>
    </w:p>
    <w:p>
      <w:pPr>
        <w:spacing w:before="120"/>
      </w:pPr>
      <w:r>
        <w:rPr>
          <w:b/>
          <w:sz w:val="22"/>
        </w:rPr>
        <w:t>Rule B6</w:t>
      </w:r>
      <w:r>
        <w:t xml:space="preserve"> — Investment Portfolio Definition (Consolidated Subsidiaries)</w:t>
      </w:r>
      <w:r>
        <w:t xml:space="preserve">   </w:t>
      </w:r>
      <w:r>
        <w:rPr>
          <w:b/>
          <w:color w:val="E67E00"/>
        </w:rPr>
        <w:t>[has_issues]</w:t>
      </w:r>
    </w:p>
    <w:p>
      <w:pPr>
        <w:spacing w:before="0" w:after="0"/>
        <w:ind w:left="360"/>
      </w:pPr>
      <w:r>
        <w:rPr>
          <w:b/>
          <w:sz w:val="20"/>
        </w:rPr>
        <w:t xml:space="preserve">Analysis: </w:t>
      </w:r>
      <w:r>
        <w:rPr>
          <w:sz w:val="20"/>
        </w:rPr>
        <w:t>This rule applies to Xiaomi SII and Tencent SII, which rely on the corporate portfolio basis for sophistication. The prospectus fails to explicitly state that consolidated subsidiaries are excluded from the portfolio value calculation, as required by para 22 of the Guide.</w:t>
      </w:r>
    </w:p>
    <w:p>
      <w:pPr>
        <w:ind w:left="360"/>
      </w:pPr>
      <w:r>
        <w:rPr>
          <w:b/>
          <w:sz w:val="20"/>
        </w:rPr>
        <w:t>Finding 1: Disclosure [Medium / Absent]</w:t>
      </w:r>
    </w:p>
    <w:p>
      <w:pPr>
        <w:spacing w:before="0" w:after="0"/>
        <w:ind w:left="360"/>
      </w:pPr>
      <w:r>
        <w:rPr>
          <w:b/>
          <w:sz w:val="20"/>
        </w:rPr>
        <w:t xml:space="preserve">Explanation: </w:t>
      </w:r>
      <w:r>
        <w:rPr>
          <w:sz w:val="20"/>
        </w:rPr>
        <w:t>For Xiaomi SII and Tencent SII, which rely on the diverse investment portfolio basis under para 21(ii), the prospectus (tier2/pre_ipo_investment, page 189) does not explicitly confirm that the value of consolidated subsidiaries has been excluded from the portfolio calculation, as required by para 22 of the Guide.</w:t>
      </w:r>
    </w:p>
    <w:p>
      <w:pPr>
        <w:spacing w:before="0" w:after="0"/>
        <w:ind w:left="360"/>
      </w:pPr>
      <w:r>
        <w:rPr>
          <w:b/>
          <w:sz w:val="20"/>
        </w:rPr>
        <w:t xml:space="preserve">Recommendation: </w:t>
      </w:r>
      <w:r>
        <w:rPr>
          <w:sz w:val="20"/>
        </w:rPr>
        <w:t>For both Xiaomi SII and Tencent SII, add a statement confirming that the disclosed investment portfolio values exclude any consolidated subsidiaries.</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189</w:t>
      </w:r>
    </w:p>
    <w:p>
      <w:pPr>
        <w:spacing w:before="0" w:after="0"/>
        <w:ind w:left="360"/>
      </w:pPr>
      <w:r>
        <w:rPr>
          <w:b/>
          <w:sz w:val="20"/>
        </w:rPr>
        <w:t xml:space="preserve">Anchor: </w:t>
      </w:r>
      <w:r>
        <w:rPr>
          <w:sz w:val="20"/>
        </w:rPr>
        <w:t>has a diverse investment portfolio of approximately</w:t>
      </w:r>
    </w:p>
    <w:p>
      <w:pPr>
        <w:spacing w:before="120"/>
      </w:pPr>
      <w:r>
        <w:rPr>
          <w:b/>
          <w:sz w:val="22"/>
        </w:rPr>
        <w:t>Rule B7</w:t>
      </w:r>
      <w:r>
        <w:t xml:space="preserve"> — Parent Entity or Fund Manager Qualification</w:t>
      </w:r>
      <w:r>
        <w:t xml:space="preserve">   </w:t>
      </w:r>
      <w:r>
        <w:rPr>
          <w:b/>
          <w:color w:val="1A7A3C"/>
        </w:rPr>
        <w:t>[clear]</w:t>
      </w:r>
    </w:p>
    <w:p>
      <w:pPr>
        <w:spacing w:before="0" w:after="0"/>
        <w:ind w:left="360"/>
      </w:pPr>
      <w:r>
        <w:rPr>
          <w:b/>
          <w:sz w:val="20"/>
        </w:rPr>
        <w:t xml:space="preserve">Analysis: </w:t>
      </w:r>
      <w:r>
        <w:rPr>
          <w:sz w:val="20"/>
        </w:rPr>
        <w:t>Several SIIs rely on this rule. Northern Light, Oceanpine, SummitView, and Future Industry Fund rely on their fund manager's AUM. Xiaomi and Tencent rely on their listed parent's portfolio. Geely and SAIC Motor rely on their parent/group company's market position. In each case, the parent/manager is identified and its qualifying data is disclosed, satisfying para 23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is ultimately managed by Northern Light Venture Capital as the general partner</w:t>
      </w:r>
    </w:p>
    <w:p>
      <w:pPr>
        <w:spacing w:before="120"/>
      </w:pPr>
      <w:r>
        <w:rPr>
          <w:b/>
          <w:sz w:val="22"/>
        </w:rPr>
        <w:t>Rule B8</w:t>
      </w:r>
      <w:r>
        <w:t xml:space="preserve"> — HKEX Case-by-Case Acceptance</w:t>
      </w:r>
      <w:r>
        <w:t xml:space="preserve">   </w:t>
      </w:r>
      <w:r>
        <w:rPr>
          <w:b/>
          <w:color w:val="606060"/>
        </w:rPr>
        <w:t>[not_applicable]</w:t>
      </w:r>
    </w:p>
    <w:p>
      <w:pPr>
        <w:spacing w:before="0" w:after="0"/>
        <w:ind w:left="360"/>
      </w:pPr>
      <w:r>
        <w:rPr>
          <w:b/>
          <w:sz w:val="20"/>
        </w:rPr>
        <w:t xml:space="preserve">Analysis: </w:t>
      </w:r>
      <w:r>
        <w:rPr>
          <w:sz w:val="20"/>
        </w:rPr>
        <w:t>This rule is not triggered as all nine SIIs claim sophistication under one of the specific examples in para 21 of the Guide, as detailed in tier2/pre_ipo_investment, pages 186-191. No alternative justification under para 24 is presented.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
      <w:pPr>
        <w:pStyle w:val="Heading2"/>
      </w:pPr>
      <w:r>
        <w:t>Module C: SII Disclosure Requirements (Para 25)</w:t>
      </w:r>
    </w:p>
    <w:p>
      <w:pPr>
        <w:spacing w:before="120"/>
      </w:pPr>
      <w:r>
        <w:rPr>
          <w:b/>
          <w:sz w:val="22"/>
        </w:rPr>
        <w:t>Rule C1</w:t>
      </w:r>
      <w:r>
        <w:t xml:space="preserve"> — Size Disclosure and Basis of Determination</w:t>
      </w:r>
      <w:r>
        <w:t xml:space="preserve">   </w:t>
      </w:r>
      <w:r>
        <w:rPr>
          <w:b/>
          <w:color w:val="E67E00"/>
        </w:rPr>
        <w:t>[has_issues]</w:t>
      </w:r>
    </w:p>
    <w:p>
      <w:pPr>
        <w:spacing w:before="0" w:after="0"/>
        <w:ind w:left="360"/>
      </w:pPr>
      <w:r>
        <w:rPr>
          <w:b/>
          <w:sz w:val="20"/>
        </w:rPr>
        <w:t xml:space="preserve">Analysis: </w:t>
      </w:r>
      <w:r>
        <w:rPr>
          <w:sz w:val="20"/>
        </w:rPr>
        <w:t>While monetary figures for AUM/portfolio size are disclosed for each SII, the basis for determination is often vague or absent. For example, the disclosures for Northern Light and BOCGI simply state 'AUM' without specifying the valuation basis (e.g., NAV, fair value) as required by para 25.</w:t>
      </w:r>
    </w:p>
    <w:p>
      <w:pPr>
        <w:ind w:left="360"/>
      </w:pPr>
      <w:r>
        <w:rPr>
          <w:b/>
          <w:sz w:val="20"/>
        </w:rPr>
        <w:t>Finding 1: Language [Critical / Insufficient]</w:t>
      </w:r>
    </w:p>
    <w:p>
      <w:pPr>
        <w:spacing w:before="0" w:after="0"/>
        <w:ind w:left="360"/>
      </w:pPr>
      <w:r>
        <w:rPr>
          <w:b/>
          <w:sz w:val="20"/>
        </w:rPr>
        <w:t xml:space="preserve">Explanation: </w:t>
      </w:r>
      <w:r>
        <w:rPr>
          <w:sz w:val="20"/>
        </w:rPr>
        <w:t>Para 25 requires disclosure of the basis for determination of AUM, fund size, or portfolio value. For several SIIs, such as Northern Light (page 186) and BOCGI (page 190), the prospectus states the AUM figure but does not specify the basis (e.g., audited NAV, fair value methodology, accounting standard). This is insufficient for an investor to assess the figure's reliability.</w:t>
      </w:r>
    </w:p>
    <w:p>
      <w:pPr>
        <w:spacing w:before="0" w:after="0"/>
        <w:ind w:left="360"/>
      </w:pPr>
      <w:r>
        <w:rPr>
          <w:b/>
          <w:sz w:val="20"/>
        </w:rPr>
        <w:t xml:space="preserve">Recommendation: </w:t>
      </w:r>
      <w:r>
        <w:rPr>
          <w:sz w:val="20"/>
        </w:rPr>
        <w:t>For each SII, specify the basis of determination for the disclosed AUM or portfolio value, including the valuation methodology and whether the figure is audited.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The assets under management (“AUM”) of Northern Light Venture Capital was approximately</w:t>
      </w:r>
    </w:p>
    <w:p>
      <w:pPr>
        <w:spacing w:before="120"/>
      </w:pPr>
      <w:r>
        <w:rPr>
          <w:b/>
          <w:sz w:val="22"/>
        </w:rPr>
        <w:t>Rule C2</w:t>
      </w:r>
      <w:r>
        <w:t xml:space="preserve"> — Reference Date (Definitive Agreement)</w:t>
      </w:r>
      <w:r>
        <w:t xml:space="preserve">   </w:t>
      </w:r>
      <w:r>
        <w:rPr>
          <w:b/>
          <w:color w:val="E67E00"/>
        </w:rPr>
        <w:t>[has_issues]</w:t>
      </w:r>
    </w:p>
    <w:p>
      <w:pPr>
        <w:spacing w:before="0" w:after="0"/>
        <w:ind w:left="360"/>
      </w:pPr>
      <w:r>
        <w:rPr>
          <w:b/>
          <w:sz w:val="20"/>
        </w:rPr>
        <w:t xml:space="preserve">Analysis: </w:t>
      </w:r>
      <w:r>
        <w:rPr>
          <w:sz w:val="20"/>
        </w:rPr>
        <w:t>The prospectus fails to disclose the specific reference dates for the first set of sophistication figures for each SII. Instead, a footnote vaguely asserts that the date is 'not more than six months prior to the date on which the relevant investor signed the relevant definitive agreement'. This makes it impossible to verify compliance with the 6-month rule under para 25(i).</w:t>
      </w:r>
    </w:p>
    <w:p>
      <w:pPr>
        <w:ind w:left="360"/>
      </w:pPr>
      <w:r>
        <w:rPr>
          <w:b/>
          <w:sz w:val="20"/>
        </w:rPr>
        <w:t>Finding 1: Disclosure [Critical / Absent]</w:t>
      </w:r>
    </w:p>
    <w:p>
      <w:pPr>
        <w:spacing w:before="0" w:after="0"/>
        <w:ind w:left="360"/>
      </w:pPr>
      <w:r>
        <w:rPr>
          <w:b/>
          <w:sz w:val="20"/>
        </w:rPr>
        <w:t xml:space="preserve">Explanation: </w:t>
      </w:r>
      <w:r>
        <w:rPr>
          <w:sz w:val="20"/>
        </w:rPr>
        <w:t>Para 25(i) of the Guide requires disclosure of sophistication information as of a reference date no more than 6 months before the definitive agreement date. The prospectus (tier2/pre_ipo_investment, page 191, footnote 1) does not provide the specific reference date for any SII, nor the definitive agreement date. It only provides a conclusory statement of compliance, which is insufficient.</w:t>
      </w:r>
    </w:p>
    <w:p>
      <w:pPr>
        <w:spacing w:before="0" w:after="0"/>
        <w:ind w:left="360"/>
      </w:pPr>
      <w:r>
        <w:rPr>
          <w:b/>
          <w:sz w:val="20"/>
        </w:rPr>
        <w:t xml:space="preserve">Recommendation: </w:t>
      </w:r>
      <w:r>
        <w:rPr>
          <w:sz w:val="20"/>
        </w:rPr>
        <w:t>For each SII, disclose the specific calendar reference date for the first set of AUM/portfolio figures and the specific date of the definitive agreement, allowing for verification of the 6-month interval.</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191</w:t>
      </w:r>
    </w:p>
    <w:p>
      <w:pPr>
        <w:spacing w:before="0" w:after="0"/>
        <w:ind w:left="360"/>
      </w:pPr>
      <w:r>
        <w:rPr>
          <w:b/>
          <w:sz w:val="20"/>
        </w:rPr>
        <w:t xml:space="preserve">Anchor: </w:t>
      </w:r>
      <w:r>
        <w:rPr>
          <w:sz w:val="20"/>
        </w:rPr>
        <w:t>being a date not more than six months prior to the date on which the relevant investor signed</w:t>
      </w:r>
    </w:p>
    <w:p>
      <w:pPr>
        <w:spacing w:before="120"/>
      </w:pPr>
      <w:r>
        <w:rPr>
          <w:b/>
          <w:sz w:val="22"/>
        </w:rPr>
        <w:t>Rule C3</w:t>
      </w:r>
      <w:r>
        <w:t xml:space="preserve"> — Reference Date (Listing Application)</w:t>
      </w:r>
      <w:r>
        <w:t xml:space="preserve">   </w:t>
      </w:r>
      <w:r>
        <w:rPr>
          <w:b/>
          <w:color w:val="E67E00"/>
        </w:rPr>
        <w:t>[has_issues]</w:t>
      </w:r>
    </w:p>
    <w:p>
      <w:pPr>
        <w:spacing w:before="0" w:after="0"/>
        <w:ind w:left="360"/>
      </w:pPr>
      <w:r>
        <w:rPr>
          <w:b/>
          <w:sz w:val="20"/>
        </w:rPr>
        <w:t xml:space="preserve">Analysis: </w:t>
      </w:r>
      <w:r>
        <w:rPr>
          <w:sz w:val="20"/>
        </w:rPr>
        <w:t>The prospectus provides a second set of sophistication figures, but their reference dates (e.g., Sep 30, 2023; Dec 31, 2023) are after the first listing application date of June 29, 2023. This fails the requirement of para 25(ii) that the information must be as of a date no more than 6 months *before* the listing application date.</w:t>
      </w:r>
    </w:p>
    <w:p>
      <w:pPr>
        <w:ind w:left="360"/>
      </w:pPr>
      <w:r>
        <w:rPr>
          <w:b/>
          <w:sz w:val="20"/>
        </w:rPr>
        <w:t>Finding 1: Threshold [Critical / Insufficient]</w:t>
      </w:r>
    </w:p>
    <w:p>
      <w:pPr>
        <w:spacing w:before="0" w:after="0"/>
        <w:ind w:left="360"/>
      </w:pPr>
      <w:r>
        <w:rPr>
          <w:b/>
          <w:sz w:val="20"/>
        </w:rPr>
        <w:t xml:space="preserve">Explanation: </w:t>
      </w:r>
      <w:r>
        <w:rPr>
          <w:sz w:val="20"/>
        </w:rPr>
        <w:t>Para 25(ii) requires a second set of sophistication figures as of a reference date no more than 6 months *before* the listing application date. The first application date is disclosed as June 29, 2023 (tier2/pre_ipo_investment, page 186). However, the second reference dates provided for SIIs (e.g., Sep 30, 2023 for Northern Light) are *after* this application date, which does not comply with the rule.</w:t>
      </w:r>
    </w:p>
    <w:p>
      <w:pPr>
        <w:spacing w:before="0" w:after="0"/>
        <w:ind w:left="360"/>
      </w:pPr>
      <w:r>
        <w:rPr>
          <w:b/>
          <w:sz w:val="20"/>
        </w:rPr>
        <w:t xml:space="preserve">Recommendation: </w:t>
      </w:r>
      <w:r>
        <w:rPr>
          <w:sz w:val="20"/>
        </w:rPr>
        <w:t>Provide a second set of sophistication figures for each SII as of a specific reference date that is no more than 6 months *prior* to the listing application date of June 29, 2023.</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approximately HK$31.19 billion as of September 30, 2023, respectively.</w:t>
      </w:r>
    </w:p>
    <w:p>
      <w:pPr>
        <w:spacing w:before="120"/>
      </w:pPr>
      <w:r>
        <w:rPr>
          <w:b/>
          <w:sz w:val="22"/>
        </w:rPr>
        <w:t>Rule C4</w:t>
      </w:r>
      <w:r>
        <w:t xml:space="preserve"> — Confidentiality Carve-Out</w:t>
      </w:r>
      <w:r>
        <w:t xml:space="preserve">   </w:t>
      </w:r>
      <w:r>
        <w:rPr>
          <w:b/>
          <w:color w:val="606060"/>
        </w:rPr>
        <w:t>[not_applicable]</w:t>
      </w:r>
    </w:p>
    <w:p>
      <w:pPr>
        <w:spacing w:before="0" w:after="0"/>
        <w:ind w:left="360"/>
      </w:pPr>
      <w:r>
        <w:rPr>
          <w:b/>
          <w:sz w:val="20"/>
        </w:rPr>
        <w:t xml:space="preserve">Analysis: </w:t>
      </w:r>
      <w:r>
        <w:rPr>
          <w:sz w:val="20"/>
        </w:rPr>
        <w:t>This rule is not triggered as the prospectus does not invoke the confidentiality carve-out for any SII. It attempts to provide the required disclosures for all SIIs.</w:t>
      </w:r>
    </w:p>
    <w:p/>
    <w:p>
      <w:pPr>
        <w:pStyle w:val="Heading2"/>
      </w:pPr>
      <w:r>
        <w:t>Module D: Pathfinder SII Requirements (Para 26(i))</w:t>
      </w:r>
    </w:p>
    <w:p>
      <w:pPr>
        <w:spacing w:before="120"/>
      </w:pPr>
      <w:r>
        <w:rPr>
          <w:b/>
          <w:sz w:val="22"/>
        </w:rPr>
        <w:t>Rule D1a</w:t>
      </w:r>
      <w:r>
        <w:t xml:space="preserve"> — Pathfinder SII Count</w:t>
      </w:r>
      <w:r>
        <w:t xml:space="preserve">   </w:t>
      </w:r>
      <w:r>
        <w:rPr>
          <w:b/>
          <w:color w:val="1A7A3C"/>
        </w:rPr>
        <w:t>[clear]</w:t>
      </w:r>
    </w:p>
    <w:p>
      <w:pPr>
        <w:spacing w:before="0" w:after="0"/>
        <w:ind w:left="360"/>
      </w:pPr>
      <w:r>
        <w:rPr>
          <w:b/>
          <w:sz w:val="20"/>
        </w:rPr>
        <w:t xml:space="preserve">Analysis: </w:t>
      </w:r>
      <w:r>
        <w:rPr>
          <w:sz w:val="20"/>
        </w:rPr>
        <w:t>The prospectus (tier2/pre_ipo_investment, page 195) clearly identifies two Pathfinder SIIs: the Northern Light SIIs and the Oceanpine SIIs. A count of two is within the required range of 2 to 5 (PARAM_D_COUNT_MIN/MAX) under para 26(i)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We have received investments from two Pathfinder SIIs, namely the Northern Light SIIs and the Oceanpine SIIs</w:t>
      </w:r>
    </w:p>
    <w:p>
      <w:pPr>
        <w:spacing w:before="120"/>
      </w:pPr>
      <w:r>
        <w:rPr>
          <w:b/>
          <w:sz w:val="22"/>
        </w:rPr>
        <w:t>Rule D1b</w:t>
      </w:r>
      <w:r>
        <w:t xml:space="preserve"> — Pathfinder SII Investment Timing</w:t>
      </w:r>
      <w:r>
        <w:t xml:space="preserve">   </w:t>
      </w:r>
      <w:r>
        <w:rPr>
          <w:b/>
          <w:color w:val="E67E00"/>
        </w:rPr>
        <w:t>[has_issues]</w:t>
      </w:r>
    </w:p>
    <w:p>
      <w:pPr>
        <w:spacing w:before="0" w:after="0"/>
        <w:ind w:left="360"/>
      </w:pPr>
      <w:r>
        <w:rPr>
          <w:b/>
          <w:sz w:val="20"/>
        </w:rPr>
        <w:t xml:space="preserve">Analysis: </w:t>
      </w:r>
      <w:r>
        <w:rPr>
          <w:sz w:val="20"/>
        </w:rPr>
        <w:t>The prospectus asserts that both Pathfinder SIIs invested more than 12 months before the listing application. However, it fails to specify that the investment dates provided refer to the date of 'irrevocable settlement' as required by para 30 of the Guide. The dates in the pre-IPO table are for 'last payment of consideration', which may not be the same.</w:t>
      </w:r>
    </w:p>
    <w:p>
      <w:pPr>
        <w:ind w:left="360"/>
      </w:pPr>
      <w:r>
        <w:rPr>
          <w:b/>
          <w:sz w:val="20"/>
        </w:rPr>
        <w:t>Finding 1: Language [Critical / Insufficient]</w:t>
      </w:r>
    </w:p>
    <w:p>
      <w:pPr>
        <w:spacing w:before="0" w:after="0"/>
        <w:ind w:left="360"/>
      </w:pPr>
      <w:r>
        <w:rPr>
          <w:b/>
          <w:sz w:val="20"/>
        </w:rPr>
        <w:t xml:space="preserve">Explanation: </w:t>
      </w:r>
      <w:r>
        <w:rPr>
          <w:sz w:val="20"/>
        </w:rPr>
        <w:t>Para 30 of the Guide specifies that the investment date for Pathfinder SIIs must be the date of irrevocable settlement. The prospectus (tier1/history_corporate, page 176) gives dates when the Pathfinders 'first invested' (Sep 2016 and Sep 2020). The pre-IPO table (tier2/sii_disclosure, page 181) gives dates for 'last payment of consideration'. Neither explicitly confirms these dates represent irrevocable settlement, which is a critical detail for verifying the 12-month holding period (PARAM_D_HOLD_MONTHS).</w:t>
      </w:r>
    </w:p>
    <w:p>
      <w:pPr>
        <w:spacing w:before="0" w:after="0"/>
        <w:ind w:left="360"/>
      </w:pPr>
      <w:r>
        <w:rPr>
          <w:b/>
          <w:sz w:val="20"/>
        </w:rPr>
        <w:t xml:space="preserve">Recommendation: </w:t>
      </w:r>
      <w:r>
        <w:rPr>
          <w:sz w:val="20"/>
        </w:rPr>
        <w:t>For each Pathfinder SII, explicitly state the date of irrevocable settlement for the qualifying investment and confirm this date is at least 12 months prior to the listing application date.</w:t>
      </w:r>
    </w:p>
    <w:p>
      <w:pPr>
        <w:spacing w:before="0" w:after="0"/>
        <w:ind w:left="360"/>
      </w:pPr>
      <w:r>
        <w:rPr>
          <w:b/>
          <w:sz w:val="20"/>
        </w:rPr>
        <w:t xml:space="preserve">Source: </w:t>
      </w:r>
      <w:r>
        <w:rPr>
          <w:sz w:val="20"/>
        </w:rPr>
        <w:t>tier1/history_corporate</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first invested in our Company.</w:t>
      </w:r>
    </w:p>
    <w:p>
      <w:pPr>
        <w:spacing w:before="120"/>
      </w:pPr>
      <w:r>
        <w:rPr>
          <w:b/>
          <w:sz w:val="22"/>
        </w:rPr>
        <w:t>Rule D2</w:t>
      </w:r>
      <w:r>
        <w:t xml:space="preserve"> — Pathfinder SII Aggregate Threshold</w:t>
      </w:r>
      <w:r>
        <w:t xml:space="preserve">   </w:t>
      </w:r>
      <w:r>
        <w:rPr>
          <w:b/>
          <w:color w:val="1A7A3C"/>
        </w:rPr>
        <w:t>[clear]</w:t>
      </w:r>
    </w:p>
    <w:p>
      <w:pPr>
        <w:spacing w:before="0" w:after="0"/>
        <w:ind w:left="360"/>
      </w:pPr>
      <w:r>
        <w:rPr>
          <w:b/>
          <w:sz w:val="20"/>
        </w:rPr>
        <w:t xml:space="preserve">Analysis: </w:t>
      </w:r>
      <w:r>
        <w:rPr>
          <w:sz w:val="20"/>
        </w:rPr>
        <w:t>The prospectus relies on the percentage holding basis. It discloses on page 187 of tier2/pre_ipo_investment that the Pathfinder SIIs held, in aggregate, 17.45% at the listing application date and 19.05% at the start of the 12-month pre-application period. Both figures exceed the 10% aggregate threshold (PARAM_D2_AGG_PCT) required by para 26(i)(a).</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187</w:t>
      </w:r>
    </w:p>
    <w:p>
      <w:pPr>
        <w:spacing w:before="0" w:after="0"/>
        <w:ind w:left="360"/>
      </w:pPr>
      <w:r>
        <w:rPr>
          <w:b/>
          <w:sz w:val="20"/>
        </w:rPr>
        <w:t xml:space="preserve">Anchor: </w:t>
      </w:r>
      <w:r>
        <w:rPr>
          <w:sz w:val="20"/>
        </w:rPr>
        <w:t>Our Pathfinder SIIs, in aggregate, held approximately 17.45% and 19.05%</w:t>
      </w:r>
    </w:p>
    <w:p>
      <w:pPr>
        <w:spacing w:before="120"/>
      </w:pPr>
      <w:r>
        <w:rPr>
          <w:b/>
          <w:sz w:val="22"/>
        </w:rPr>
        <w:t>Rule D3</w:t>
      </w:r>
      <w:r>
        <w:t xml:space="preserve"> — Individual Pathfinder SII Threshold</w:t>
      </w:r>
      <w:r>
        <w:t xml:space="preserve">   </w:t>
      </w:r>
      <w:r>
        <w:rPr>
          <w:b/>
          <w:color w:val="1A7A3C"/>
        </w:rPr>
        <w:t>[clear]</w:t>
      </w:r>
    </w:p>
    <w:p>
      <w:pPr>
        <w:spacing w:before="0" w:after="0"/>
        <w:ind w:left="360"/>
      </w:pPr>
      <w:r>
        <w:rPr>
          <w:b/>
          <w:sz w:val="20"/>
        </w:rPr>
        <w:t xml:space="preserve">Analysis: </w:t>
      </w:r>
      <w:r>
        <w:rPr>
          <w:sz w:val="20"/>
        </w:rPr>
        <w:t>The prospectus relies on the percentage holding basis. It discloses on pages 186-187 of tier2/pre_ipo_investment that Northern Light SIIs held 11.48% (at application) and 12.53% (12m prior), and Oceanpine SIIs held 5.97% (at application) and 6.52% (12m prior). As there are two Pathfinders, both must meet the individual threshold. All disclosed figures exceed the 3% individual threshold (PARAM_D3_IND_PCT) required by para 26(i)(b).</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the Northern Light SIIs held approximately 11.48% and 12.53%</w:t>
      </w:r>
    </w:p>
    <w:p/>
    <w:p>
      <w:pPr>
        <w:pStyle w:val="Heading2"/>
      </w:pPr>
      <w:r>
        <w:t>Module E: Aggregate SII Investment Benchmark (Para 26(ii))</w:t>
      </w:r>
    </w:p>
    <w:p>
      <w:pPr>
        <w:spacing w:before="120"/>
      </w:pPr>
      <w:r>
        <w:rPr>
          <w:b/>
          <w:sz w:val="22"/>
        </w:rPr>
        <w:t>Rule E1</w:t>
      </w:r>
      <w:r>
        <w:t xml:space="preserve"> — Aggregate SII Shareholding Benchmark</w:t>
      </w:r>
      <w:r>
        <w:t xml:space="preserve">   </w:t>
      </w:r>
      <w:r>
        <w:rPr>
          <w:b/>
          <w:color w:val="1A7A3C"/>
        </w:rPr>
        <w:t>[clear]</w:t>
      </w:r>
    </w:p>
    <w:p>
      <w:pPr>
        <w:spacing w:before="0" w:after="0"/>
        <w:ind w:left="360"/>
      </w:pPr>
      <w:r>
        <w:rPr>
          <w:b/>
          <w:sz w:val="20"/>
        </w:rPr>
        <w:t xml:space="preserve">Analysis: </w:t>
      </w:r>
      <w:r>
        <w:rPr>
          <w:sz w:val="20"/>
        </w:rPr>
        <w:t>The prospectus (tier2/pre_ipo_investment, page 195) states that at listing, all SIIs will hold, in aggregate, 'no less than 15%' of the total issued share capital. This is based on the company's Commercial status and an expected market cap exceeding HK$15 billion. This disclosed holding percentage meets the applicable 15% threshold under para 26(ii)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At Listing, such Sophisticated Independent Investors will hold, in aggregate, no less than 15%</w:t>
      </w:r>
    </w:p>
    <w:p>
      <w:pPr>
        <w:spacing w:before="120"/>
      </w:pPr>
      <w:r>
        <w:rPr>
          <w:b/>
          <w:sz w:val="22"/>
        </w:rPr>
        <w:t>Rule E2</w:t>
      </w:r>
      <w:r>
        <w:t xml:space="preserve"> — Threshold Tier Verification</w:t>
      </w:r>
      <w:r>
        <w:t xml:space="preserve">   </w:t>
      </w:r>
      <w:r>
        <w:rPr>
          <w:b/>
          <w:color w:val="1A7A3C"/>
        </w:rPr>
        <w:t>[clear]</w:t>
      </w:r>
    </w:p>
    <w:p>
      <w:pPr>
        <w:spacing w:before="0" w:after="0"/>
        <w:ind w:left="360"/>
      </w:pPr>
      <w:r>
        <w:rPr>
          <w:b/>
          <w:sz w:val="20"/>
        </w:rPr>
        <w:t xml:space="preserve">Analysis: </w:t>
      </w:r>
      <w:r>
        <w:rPr>
          <w:sz w:val="20"/>
        </w:rPr>
        <w:t>Based on the Commercial status (from P2) and the expected market cap of over HK$15 billion (from P3), the company correctly identifies the applicable market cap tier as 'HK$15-30bn'. The corresponding threshold for a Commercial Company in this tier is 15% (PARAM_E_COMM_MID). The prospectus correctly applies this 15% threshold.</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assuming that our expected market capitalization at the time of Listing will exceed HK$15 billion.</w:t>
      </w:r>
    </w:p>
    <w:p/>
    <w:p>
      <w:pPr>
        <w:pStyle w:val="Heading2"/>
      </w:pPr>
      <w:r>
        <w:t>Module F: Convertible Securities (Paras 27–28)</w:t>
      </w:r>
    </w:p>
    <w:p>
      <w:pPr>
        <w:spacing w:before="120"/>
      </w:pPr>
      <w:r>
        <w:rPr>
          <w:b/>
          <w:sz w:val="22"/>
        </w:rPr>
        <w:t>Rule F1</w:t>
      </w:r>
      <w:r>
        <w:t xml:space="preserve"> — Conversion Requirement</w:t>
      </w:r>
      <w:r>
        <w:t xml:space="preserve">   </w:t>
      </w:r>
      <w:r>
        <w:rPr>
          <w:b/>
          <w:color w:val="1A7A3C"/>
        </w:rPr>
        <w:t>[clear]</w:t>
      </w:r>
    </w:p>
    <w:p>
      <w:pPr>
        <w:spacing w:before="0" w:after="0"/>
        <w:ind w:left="360"/>
      </w:pPr>
      <w:r>
        <w:rPr>
          <w:b/>
          <w:sz w:val="20"/>
        </w:rPr>
        <w:t xml:space="preserve">Analysis: </w:t>
      </w:r>
      <w:r>
        <w:rPr>
          <w:sz w:val="20"/>
        </w:rPr>
        <w:t>The prospectus (tier2/pre_ipo_investment, page 185) explicitly states that 'All of the Preferred Shares will be converted into Shares on a one-to-one basis immediately upon completion of the Global Offering'. This confirms that the securities will be converted at or before listing and therefore count towards the meaningful investment requirement, satisfying para 27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185</w:t>
      </w:r>
    </w:p>
    <w:p>
      <w:pPr>
        <w:spacing w:before="0" w:after="0"/>
        <w:ind w:left="360"/>
      </w:pPr>
      <w:r>
        <w:rPr>
          <w:b/>
          <w:sz w:val="20"/>
        </w:rPr>
        <w:t xml:space="preserve">Anchor: </w:t>
      </w:r>
      <w:r>
        <w:rPr>
          <w:sz w:val="20"/>
        </w:rPr>
        <w:t>All of the Preferred Shares will be converted into Shares on a one-to-one basis</w:t>
      </w:r>
    </w:p>
    <w:p>
      <w:pPr>
        <w:spacing w:before="120"/>
      </w:pPr>
      <w:r>
        <w:rPr>
          <w:b/>
          <w:sz w:val="22"/>
        </w:rPr>
        <w:t>Rule F2</w:t>
      </w:r>
      <w:r>
        <w:t xml:space="preserve"> — Convertible Securities Counting Basis</w:t>
      </w:r>
      <w:r>
        <w:t xml:space="preserve">   </w:t>
      </w:r>
      <w:r>
        <w:rPr>
          <w:b/>
          <w:color w:val="1A7A3C"/>
        </w:rPr>
        <w:t>[clear]</w:t>
      </w:r>
    </w:p>
    <w:p>
      <w:pPr>
        <w:spacing w:before="0" w:after="0"/>
        <w:ind w:left="360"/>
      </w:pPr>
      <w:r>
        <w:rPr>
          <w:b/>
          <w:sz w:val="20"/>
        </w:rPr>
        <w:t xml:space="preserve">Analysis: </w:t>
      </w:r>
      <w:r>
        <w:rPr>
          <w:sz w:val="20"/>
        </w:rPr>
        <w:t>The prospectus discloses that conversion is on a 'one-to-one basis'. The capitalization table in tier2/pre_ipo_investment (pages 198-204) details the number of Preferred Shares of each series held by each investor, allowing for the number of conversion shares to be determined. The cost per share for each series is provided in the table on page 181, which allows for the corresponding investment amount to be calculated. This satisfies para 28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185</w:t>
      </w:r>
    </w:p>
    <w:p>
      <w:pPr>
        <w:spacing w:before="0" w:after="0"/>
        <w:ind w:left="360"/>
      </w:pPr>
      <w:r>
        <w:rPr>
          <w:b/>
          <w:sz w:val="20"/>
        </w:rPr>
        <w:t xml:space="preserve">Anchor: </w:t>
      </w:r>
      <w:r>
        <w:rPr>
          <w:sz w:val="20"/>
        </w:rPr>
        <w:t>All of the Preferred Shares will be converted into Shares on a one-to-one basis</w:t>
      </w:r>
    </w:p>
    <w:p/>
    <w:p>
      <w:pPr>
        <w:pStyle w:val="Heading2"/>
      </w:pPr>
      <w:r>
        <w:t>Module G: Shareholding Fluctuations (Paras 29–31)</w:t>
      </w:r>
    </w:p>
    <w:p>
      <w:pPr>
        <w:spacing w:before="120"/>
      </w:pPr>
      <w:r>
        <w:rPr>
          <w:b/>
          <w:sz w:val="22"/>
        </w:rPr>
        <w:t>Rule G1</w:t>
      </w:r>
      <w:r>
        <w:t xml:space="preserve"> — Temporary Dilution Without Top-Up</w:t>
      </w:r>
      <w:r>
        <w:t xml:space="preserve">   </w:t>
      </w:r>
      <w:r>
        <w:rPr>
          <w:b/>
          <w:color w:val="E67E00"/>
        </w:rPr>
        <w:t>[has_issues]</w:t>
      </w:r>
    </w:p>
    <w:p>
      <w:pPr>
        <w:spacing w:before="0" w:after="0"/>
        <w:ind w:left="360"/>
      </w:pPr>
      <w:r>
        <w:rPr>
          <w:b/>
          <w:sz w:val="20"/>
        </w:rPr>
        <w:t xml:space="preserve">Analysis: </w:t>
      </w:r>
      <w:r>
        <w:rPr>
          <w:sz w:val="20"/>
        </w:rPr>
        <w:t>The prospectus discloses that the Pathfinder SIIs' shareholdings fluctuated (decreased) during the 12-month pre-application period. While it asserts that the thresholds were met 'throughout' the period, it does not provide any data or averaging calculation to substantiate this claim in light of the dilution, failing to fully address the requirements of para 29(i) of the Guide.</w:t>
      </w:r>
    </w:p>
    <w:p>
      <w:pPr>
        <w:ind w:left="360"/>
      </w:pPr>
      <w:r>
        <w:rPr>
          <w:b/>
          <w:sz w:val="20"/>
        </w:rPr>
        <w:t>Finding 1: Reasoning [High / Insufficient]</w:t>
      </w:r>
    </w:p>
    <w:p>
      <w:pPr>
        <w:spacing w:before="0" w:after="0"/>
        <w:ind w:left="360"/>
      </w:pPr>
      <w:r>
        <w:rPr>
          <w:b/>
          <w:sz w:val="20"/>
        </w:rPr>
        <w:t xml:space="preserve">Explanation: </w:t>
      </w:r>
      <w:r>
        <w:rPr>
          <w:sz w:val="20"/>
        </w:rPr>
        <w:t>The prospectus discloses on page 187 of tier2/pre_ipo_investment that Pathfinder SII holdings decreased during the 12-month pre-application period (e.g., aggregate from 19.05% to 17.45%). It then makes a conclusory statement on page 195 that the thresholds were met 'throughout' the period. This assertion is not substantiated with evidence. To comply with the spirit of para 29, if dilution occurred, the applicant should demonstrate that the thresholds were still met immediately after each dilution event, or use the 12-month average basis exception.</w:t>
      </w:r>
    </w:p>
    <w:p>
      <w:pPr>
        <w:spacing w:before="0" w:after="0"/>
        <w:ind w:left="360"/>
      </w:pPr>
      <w:r>
        <w:rPr>
          <w:b/>
          <w:sz w:val="20"/>
        </w:rPr>
        <w:t xml:space="preserve">Recommendation: </w:t>
      </w:r>
      <w:r>
        <w:rPr>
          <w:sz w:val="20"/>
        </w:rPr>
        <w:t>Provide evidence to substantiate the claim that thresholds were met 'throughout' the 12-month period, for example by disclosing the holdings immediately after each dilution event. Alternatively, if the threshold was temporarily breached, disclose the 12-month average holding calculation per para 29(i).</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195</w:t>
      </w:r>
    </w:p>
    <w:p>
      <w:pPr>
        <w:spacing w:before="0" w:after="0"/>
        <w:ind w:left="360"/>
      </w:pPr>
      <w:r>
        <w:rPr>
          <w:b/>
          <w:sz w:val="20"/>
        </w:rPr>
        <w:t xml:space="preserve">Anchor: </w:t>
      </w:r>
      <w:r>
        <w:rPr>
          <w:sz w:val="20"/>
        </w:rPr>
        <w:t>throughout the pre-application 12-month period.</w:t>
      </w:r>
    </w:p>
    <w:p>
      <w:pPr>
        <w:spacing w:before="120"/>
      </w:pPr>
      <w:r>
        <w:rPr>
          <w:b/>
          <w:sz w:val="22"/>
        </w:rPr>
        <w:t>Rule G2</w:t>
      </w:r>
      <w:r>
        <w:t xml:space="preserve"> — Top-Up Mechanism</w:t>
      </w:r>
      <w:r>
        <w:t xml:space="preserve">   </w:t>
      </w:r>
      <w:r>
        <w:rPr>
          <w:b/>
          <w:color w:val="606060"/>
        </w:rPr>
        <w:t>[not_applicable]</w:t>
      </w:r>
    </w:p>
    <w:p>
      <w:pPr>
        <w:spacing w:before="0" w:after="0"/>
        <w:ind w:left="360"/>
      </w:pPr>
      <w:r>
        <w:rPr>
          <w:b/>
          <w:sz w:val="20"/>
        </w:rPr>
        <w:t xml:space="preserve">Analysis: </w:t>
      </w:r>
      <w:r>
        <w:rPr>
          <w:sz w:val="20"/>
        </w:rPr>
        <w:t>This rule is not triggered as the prospectus does not mention any top-up mechanism being used to cure a temporary dilution for any Pathfinder SII.</w:t>
      </w:r>
    </w:p>
    <w:p>
      <w:pPr>
        <w:spacing w:before="120"/>
      </w:pPr>
      <w:r>
        <w:rPr>
          <w:b/>
          <w:sz w:val="22"/>
        </w:rPr>
        <w:t>Rule G3</w:t>
      </w:r>
      <w:r>
        <w:t xml:space="preserve"> — Investment Date Definition</w:t>
      </w:r>
      <w:r>
        <w:t xml:space="preserve">   </w:t>
      </w:r>
      <w:r>
        <w:rPr>
          <w:b/>
          <w:color w:val="E67E00"/>
        </w:rPr>
        <w:t>[has_issues]</w:t>
      </w:r>
    </w:p>
    <w:p>
      <w:pPr>
        <w:spacing w:before="0" w:after="0"/>
        <w:ind w:left="360"/>
      </w:pPr>
      <w:r>
        <w:rPr>
          <w:b/>
          <w:sz w:val="20"/>
        </w:rPr>
        <w:t xml:space="preserve">Analysis: </w:t>
      </w:r>
      <w:r>
        <w:rPr>
          <w:sz w:val="20"/>
        </w:rPr>
        <w:t>The prospectus does not consistently define investment dates by reference to 'irrevocable settlement' as required by para 30 of the Guide. It uses ambiguous phrases like 'first invested in' or refers to dates of 'last payment of consideration', which may not be equivalent.</w:t>
      </w:r>
    </w:p>
    <w:p>
      <w:pPr>
        <w:ind w:left="360"/>
      </w:pPr>
      <w:r>
        <w:rPr>
          <w:b/>
          <w:sz w:val="20"/>
        </w:rPr>
        <w:t>Finding 1: Language [Medium / Insufficient]</w:t>
      </w:r>
    </w:p>
    <w:p>
      <w:pPr>
        <w:spacing w:before="0" w:after="0"/>
        <w:ind w:left="360"/>
      </w:pPr>
      <w:r>
        <w:rPr>
          <w:b/>
          <w:sz w:val="20"/>
        </w:rPr>
        <w:t xml:space="preserve">Explanation: </w:t>
      </w:r>
      <w:r>
        <w:rPr>
          <w:sz w:val="20"/>
        </w:rPr>
        <w:t>Para 30 of the Guide requires the investment date for Pathfinder SIIs to be the date of irrevocable settlement. The prospectus uses various non-specific terms across different sections (e.g., 'first invested' in tier1/history_corporate, page 176; 'Date of last payment of consideration' in tier2/sii_disclosure, page 181). This ambiguity prevents precise verification of the 12-month holding period.</w:t>
      </w:r>
    </w:p>
    <w:p>
      <w:pPr>
        <w:spacing w:before="0" w:after="0"/>
        <w:ind w:left="360"/>
      </w:pPr>
      <w:r>
        <w:rPr>
          <w:b/>
          <w:sz w:val="20"/>
        </w:rPr>
        <w:t xml:space="preserve">Recommendation: </w:t>
      </w:r>
      <w:r>
        <w:rPr>
          <w:sz w:val="20"/>
        </w:rPr>
        <w:t>Standardize the disclosure of all relevant investment dates for Pathfinder SIIs to explicitly refer to the date of 'irrevocable settlement'.</w:t>
      </w:r>
    </w:p>
    <w:p>
      <w:pPr>
        <w:spacing w:before="0" w:after="0"/>
        <w:ind w:left="360"/>
      </w:pPr>
      <w:r>
        <w:rPr>
          <w:b/>
          <w:sz w:val="20"/>
        </w:rPr>
        <w:t xml:space="preserve">Source: </w:t>
      </w:r>
      <w:r>
        <w:rPr>
          <w:sz w:val="20"/>
        </w:rPr>
        <w:t>tier2/sii_disclosure</w:t>
      </w:r>
    </w:p>
    <w:p>
      <w:pPr>
        <w:spacing w:before="0" w:after="0"/>
        <w:ind w:left="360"/>
      </w:pPr>
      <w:r>
        <w:rPr>
          <w:b/>
          <w:sz w:val="20"/>
        </w:rPr>
        <w:t xml:space="preserve">Page: </w:t>
      </w:r>
      <w:r>
        <w:rPr>
          <w:sz w:val="20"/>
        </w:rPr>
        <w:t>181</w:t>
      </w:r>
    </w:p>
    <w:p>
      <w:pPr>
        <w:spacing w:before="0" w:after="0"/>
        <w:ind w:left="360"/>
      </w:pPr>
      <w:r>
        <w:rPr>
          <w:b/>
          <w:sz w:val="20"/>
        </w:rPr>
        <w:t xml:space="preserve">Anchor: </w:t>
      </w:r>
      <w:r>
        <w:rPr>
          <w:sz w:val="20"/>
        </w:rPr>
        <w:t>Date of last payment of consideration</w:t>
      </w:r>
    </w:p>
    <w:p>
      <w:pPr>
        <w:spacing w:before="120"/>
      </w:pPr>
      <w:r>
        <w:rPr>
          <w:b/>
          <w:sz w:val="22"/>
        </w:rPr>
        <w:t>Rule G4</w:t>
      </w:r>
      <w:r>
        <w:t xml:space="preserve"> — Aggregation of Related Entities</w:t>
      </w:r>
      <w:r>
        <w:t xml:space="preserve">   </w:t>
      </w:r>
      <w:r>
        <w:rPr>
          <w:b/>
          <w:color w:val="1A7A3C"/>
        </w:rPr>
        <w:t>[clear]</w:t>
      </w:r>
    </w:p>
    <w:p>
      <w:pPr>
        <w:spacing w:before="0" w:after="0"/>
        <w:ind w:left="360"/>
      </w:pPr>
      <w:r>
        <w:rPr>
          <w:b/>
          <w:sz w:val="20"/>
        </w:rPr>
        <w:t xml:space="preserve">Analysis: </w:t>
      </w:r>
      <w:r>
        <w:rPr>
          <w:sz w:val="20"/>
        </w:rPr>
        <w:t>This rule is triggered for both Pathfinder SIIs. The prospectus (tier2/pre_ipo_investment, pages 186-187) discloses that the Northern Light SIIs and Oceanpine SIIs each consist of multiple funds/entities managed by the same fund manager. It describes the relationship and the unified investment decision-making process, providing a basis for aggregation under para 31 of the Guide.</w:t>
      </w:r>
    </w:p>
    <w:p>
      <w:pPr>
        <w:spacing w:before="0" w:after="0"/>
        <w:ind w:left="360"/>
      </w:pPr>
      <w:r>
        <w:rPr>
          <w:b/>
          <w:sz w:val="20"/>
        </w:rPr>
        <w:t xml:space="preserve">Source: </w:t>
      </w:r>
      <w:r>
        <w:rPr>
          <w:sz w:val="20"/>
        </w:rPr>
        <w:t>tier2/pre_ipo_investment</w:t>
      </w:r>
    </w:p>
    <w:p>
      <w:pPr>
        <w:spacing w:before="0" w:after="0"/>
        <w:ind w:left="360"/>
      </w:pPr>
      <w:r>
        <w:rPr>
          <w:b/>
          <w:sz w:val="20"/>
        </w:rPr>
        <w:t xml:space="preserve">Page: </w:t>
      </w:r>
      <w:r>
        <w:rPr>
          <w:sz w:val="20"/>
        </w:rPr>
        <w:t>186</w:t>
      </w:r>
    </w:p>
    <w:p>
      <w:pPr>
        <w:spacing w:before="0" w:after="0"/>
        <w:ind w:left="360"/>
      </w:pPr>
      <w:r>
        <w:rPr>
          <w:b/>
          <w:sz w:val="20"/>
        </w:rPr>
        <w:t xml:space="preserve">Anchor: </w:t>
      </w:r>
      <w:r>
        <w:rPr>
          <w:sz w:val="20"/>
        </w:rPr>
        <w:t>different funds managed by the same fund manager and should be aggregated as one Pathfinder SII</w:t>
      </w:r>
    </w:p>
    <w:p/>
    <w:p>
      <w:pPr>
        <w:pStyle w:val="Heading2"/>
      </w:pPr>
      <w:r>
        <w:t>Module H: Aggregate Benchmark Mechanics (Para 32)</w:t>
      </w:r>
    </w:p>
    <w:p>
      <w:pPr>
        <w:spacing w:before="120"/>
      </w:pPr>
      <w:r>
        <w:rPr>
          <w:b/>
          <w:sz w:val="22"/>
        </w:rPr>
        <w:t>Rule H1</w:t>
      </w:r>
      <w:r>
        <w:t xml:space="preserve"> — Pre-Listing and At-Listing SII Investments Combined</w:t>
      </w:r>
      <w:r>
        <w:t xml:space="preserve">   </w:t>
      </w:r>
      <w:r>
        <w:rPr>
          <w:b/>
          <w:color w:val="606060"/>
        </w:rPr>
        <w:t>[not_applicable]</w:t>
      </w:r>
    </w:p>
    <w:p>
      <w:pPr>
        <w:spacing w:before="0" w:after="0"/>
        <w:ind w:left="360"/>
      </w:pPr>
      <w:r>
        <w:rPr>
          <w:b/>
          <w:sz w:val="20"/>
        </w:rPr>
        <w:t xml:space="preserve">Analysis: </w:t>
      </w:r>
      <w:r>
        <w:rPr>
          <w:sz w:val="20"/>
        </w:rPr>
        <w:t>This rule is not triggered. The prospectus does not disclose any at-listing allocations (e.g., as cornerstone or placing investors) for any of the nine identified SIIs. The aggregate benchmark appears to be met solely through pre-listing investments.</w:t>
      </w:r>
    </w:p>
    <w:p>
      <w:pPr>
        <w:spacing w:before="0" w:after="0"/>
        <w:ind w:left="360"/>
      </w:pPr>
      <w:r>
        <w:rPr>
          <w:b/>
          <w:sz w:val="20"/>
        </w:rPr>
        <w:t xml:space="preserve">Source: </w:t>
      </w:r>
      <w:r>
        <w:rPr>
          <w:sz w:val="20"/>
        </w:rPr>
        <w:t>tier1/cornerstone_investors</w:t>
      </w:r>
    </w:p>
    <w:p>
      <w:pPr>
        <w:spacing w:before="0" w:after="0"/>
        <w:ind w:left="360"/>
      </w:pPr>
      <w:r>
        <w:rPr>
          <w:b/>
          <w:sz w:val="20"/>
        </w:rPr>
        <w:t xml:space="preserve">Page: </w:t>
      </w:r>
      <w:r>
        <w:rPr>
          <w:sz w:val="20"/>
        </w:rPr>
        <w:t>347</w:t>
      </w:r>
    </w:p>
    <w:p>
      <w:pPr>
        <w:spacing w:before="120"/>
      </w:pPr>
      <w:r>
        <w:rPr>
          <w:b/>
          <w:sz w:val="22"/>
        </w:rPr>
        <w:t>Rule H2a</w:t>
      </w:r>
      <w:r>
        <w:t xml:space="preserve"> — Applicant/OC/Sponsor Undertaking for SII Placees</w:t>
      </w:r>
      <w:r>
        <w:t xml:space="preserve">   </w:t>
      </w:r>
      <w:r>
        <w:rPr>
          <w:b/>
          <w:color w:val="606060"/>
        </w:rPr>
        <w:t>[not_applicable]</w:t>
      </w:r>
    </w:p>
    <w:p>
      <w:pPr>
        <w:spacing w:before="0" w:after="0"/>
        <w:ind w:left="360"/>
      </w:pPr>
      <w:r>
        <w:rPr>
          <w:b/>
          <w:sz w:val="20"/>
        </w:rPr>
        <w:t xml:space="preserve">Analysis: </w:t>
      </w:r>
      <w:r>
        <w:rPr>
          <w:sz w:val="20"/>
        </w:rPr>
        <w:t>This rule is not triggered as the prospectus does not mention reliance on the SII Placees mechanism to meet the Aggregate Investment Benchmark.</w:t>
      </w:r>
    </w:p>
    <w:p>
      <w:pPr>
        <w:spacing w:before="120"/>
      </w:pPr>
      <w:r>
        <w:rPr>
          <w:b/>
          <w:sz w:val="22"/>
        </w:rPr>
        <w:t>Rule H2b</w:t>
      </w:r>
      <w:r>
        <w:t xml:space="preserve"> — SII Placee Sophistication</w:t>
      </w:r>
      <w:r>
        <w:t xml:space="preserve">   </w:t>
      </w:r>
      <w:r>
        <w:rPr>
          <w:b/>
          <w:color w:val="606060"/>
        </w:rPr>
        <w:t>[not_applicable]</w:t>
      </w:r>
    </w:p>
    <w:p>
      <w:pPr>
        <w:spacing w:before="0" w:after="0"/>
        <w:ind w:left="360"/>
      </w:pPr>
      <w:r>
        <w:rPr>
          <w:b/>
          <w:sz w:val="20"/>
        </w:rPr>
        <w:t xml:space="preserve">Analysis: </w:t>
      </w:r>
      <w:r>
        <w:rPr>
          <w:sz w:val="20"/>
        </w:rPr>
        <w:t>This rule is not triggered as H2a is not triggered.</w:t>
      </w:r>
    </w:p>
    <w:p>
      <w:pPr>
        <w:spacing w:before="120"/>
      </w:pPr>
      <w:r>
        <w:rPr>
          <w:b/>
          <w:sz w:val="22"/>
        </w:rPr>
        <w:t>Rule H2c</w:t>
      </w:r>
      <w:r>
        <w:t xml:space="preserve"> — Advance HKEX Submission for Para 21(iv) Placees</w:t>
      </w:r>
      <w:r>
        <w:t xml:space="preserve">   </w:t>
      </w:r>
      <w:r>
        <w:rPr>
          <w:b/>
          <w:color w:val="606060"/>
        </w:rPr>
        <w:t>[not_applicable]</w:t>
      </w:r>
    </w:p>
    <w:p>
      <w:pPr>
        <w:spacing w:before="0" w:after="0"/>
        <w:ind w:left="360"/>
      </w:pPr>
      <w:r>
        <w:rPr>
          <w:b/>
          <w:sz w:val="20"/>
        </w:rPr>
        <w:t xml:space="preserve">Analysis: </w:t>
      </w:r>
      <w:r>
        <w:rPr>
          <w:sz w:val="20"/>
        </w:rPr>
        <w:t>This rule is not triggered as H2a is not triggered.</w:t>
      </w:r>
    </w:p>
    <w:p>
      <w:pPr>
        <w:spacing w:before="120"/>
      </w:pPr>
      <w:r>
        <w:rPr>
          <w:b/>
          <w:sz w:val="22"/>
        </w:rPr>
        <w:t>Rule H3</w:t>
      </w:r>
      <w:r>
        <w:t xml:space="preserve"> — Post-Listing Allotment Results Disclosure</w:t>
      </w:r>
      <w:r>
        <w:t xml:space="preserve">   </w:t>
      </w:r>
      <w:r>
        <w:rPr>
          <w:b/>
          <w:color w:val="606060"/>
        </w:rPr>
        <w:t>[not_applicable]</w:t>
      </w:r>
    </w:p>
    <w:p>
      <w:pPr>
        <w:spacing w:before="0" w:after="0"/>
        <w:ind w:left="360"/>
      </w:pPr>
      <w:r>
        <w:rPr>
          <w:b/>
          <w:sz w:val="20"/>
        </w:rPr>
        <w:t xml:space="preserve">Analysis: </w:t>
      </w:r>
      <w:r>
        <w:rPr>
          <w:sz w:val="20"/>
        </w:rPr>
        <w:t>This rule is not triggered as H2a is not triggered.</w:t>
      </w:r>
    </w:p>
    <w:p/>
    <w:p>
      <w:pPr>
        <w:pStyle w:val="Heading2"/>
      </w:pPr>
      <w:r>
        <w:t>Module I: Secondary / Dual Listings (Paras 33–34)</w:t>
      </w:r>
    </w:p>
    <w:p>
      <w:pPr>
        <w:spacing w:before="120"/>
      </w:pPr>
      <w:r>
        <w:rPr>
          <w:b/>
          <w:sz w:val="22"/>
        </w:rPr>
        <w:t>Rule I1</w:t>
      </w:r>
      <w:r>
        <w:t xml:space="preserve"> — Non-Standard Compliance Disclosure</w:t>
      </w:r>
      <w:r>
        <w:t xml:space="preserve">   </w:t>
      </w:r>
      <w:r>
        <w:rPr>
          <w:b/>
          <w:color w:val="606060"/>
        </w:rPr>
        <w:t>[not_applicable]</w:t>
      </w:r>
    </w:p>
    <w:p>
      <w:pPr>
        <w:spacing w:before="0" w:after="0"/>
        <w:ind w:left="360"/>
      </w:pPr>
      <w:r>
        <w:rPr>
          <w:b/>
          <w:sz w:val="20"/>
        </w:rPr>
        <w:t xml:space="preserve">Analysis: </w:t>
      </w:r>
      <w:r>
        <w:rPr>
          <w:sz w:val="20"/>
        </w:rPr>
        <w:t>This rule is not triggered. A review of the 'History and Corporate Structure' chapter (tier1/history_corporate) confirms that the applicant is seeking a primary listing and is not already listed on a recognised overseas stock exchange.</w:t>
      </w:r>
    </w:p>
    <w:p>
      <w:pPr>
        <w:spacing w:before="0" w:after="0"/>
        <w:ind w:left="360"/>
      </w:pPr>
      <w:r>
        <w:rPr>
          <w:b/>
          <w:sz w:val="20"/>
        </w:rPr>
        <w:t xml:space="preserve">Source: </w:t>
      </w:r>
      <w:r>
        <w:rPr>
          <w:sz w:val="20"/>
        </w:rPr>
        <w:t>tier1/history_corporate</w:t>
      </w:r>
    </w:p>
    <w:p>
      <w:pPr>
        <w:spacing w:before="0" w:after="0"/>
        <w:ind w:left="360"/>
      </w:pPr>
      <w:r>
        <w:rPr>
          <w:b/>
          <w:sz w:val="20"/>
        </w:rPr>
        <w:t xml:space="preserve">Page: </w:t>
      </w:r>
      <w:r>
        <w:rPr>
          <w:sz w:val="20"/>
        </w:rPr>
        <w:t>176</w:t>
      </w:r>
    </w:p>
    <w:p>
      <w:pPr>
        <w:spacing w:before="0" w:after="0"/>
        <w:ind w:left="360"/>
      </w:pPr>
      <w:r>
        <w:rPr>
          <w:b/>
          <w:sz w:val="20"/>
        </w:rPr>
        <w:t xml:space="preserve">Anchor: </w:t>
      </w:r>
      <w:r>
        <w:rPr>
          <w:sz w:val="20"/>
        </w:rPr>
        <w:t>Our Company was incorporated as an exempted company with limited liability in the Cayman Islands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