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Prospectus Analysis — Black Sesame International Holding Limited</w:t>
      </w:r>
    </w:p>
    <w:p>
      <w:pPr>
        <w:jc w:val="center"/>
      </w:pPr>
      <w:r>
        <w:rPr>
          <w:color w:val="606060"/>
        </w:rPr>
        <w:t>Analysis date: 2024-07-31</w:t>
      </w:r>
    </w:p>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rules evaluated</w:t>
            </w:r>
          </w:p>
        </w:tc>
        <w:tc>
          <w:tcPr>
            <w:tcW w:type="dxa" w:w="4320"/>
          </w:tcPr>
          <w:p>
            <w:r>
              <w:t>29</w:t>
            </w:r>
          </w:p>
        </w:tc>
      </w:tr>
      <w:tr>
        <w:tc>
          <w:tcPr>
            <w:tcW w:type="dxa" w:w="4320"/>
          </w:tcPr>
          <w:p>
            <w:r>
              <w:t>Rules clear</w:t>
            </w:r>
          </w:p>
        </w:tc>
        <w:tc>
          <w:tcPr>
            <w:tcW w:type="dxa" w:w="4320"/>
          </w:tcPr>
          <w:p>
            <w:r>
              <w:t>17</w:t>
            </w:r>
          </w:p>
        </w:tc>
      </w:tr>
      <w:tr>
        <w:tc>
          <w:tcPr>
            <w:tcW w:type="dxa" w:w="4320"/>
          </w:tcPr>
          <w:p>
            <w:r>
              <w:t>Rules with issues</w:t>
            </w:r>
          </w:p>
        </w:tc>
        <w:tc>
          <w:tcPr>
            <w:tcW w:type="dxa" w:w="4320"/>
          </w:tcPr>
          <w:p>
            <w:r>
              <w:t>12</w:t>
            </w:r>
          </w:p>
        </w:tc>
      </w:tr>
      <w:tr>
        <w:tc>
          <w:tcPr>
            <w:tcW w:type="dxa" w:w="4320"/>
          </w:tcPr>
          <w:p>
            <w:r>
              <w:t>Not Applicable</w:t>
            </w:r>
          </w:p>
        </w:tc>
        <w:tc>
          <w:tcPr>
            <w:tcW w:type="dxa" w:w="4320"/>
          </w:tcPr>
          <w:p>
            <w:r>
              <w:t>10</w:t>
            </w:r>
          </w:p>
        </w:tc>
      </w:tr>
      <w:tr>
        <w:tc>
          <w:tcPr>
            <w:tcW w:type="dxa" w:w="4320"/>
          </w:tcPr>
          <w:p>
            <w:r>
              <w:t>Reasoning flags</w:t>
            </w:r>
          </w:p>
        </w:tc>
        <w:tc>
          <w:tcPr>
            <w:tcW w:type="dxa" w:w="4320"/>
          </w:tcPr>
          <w:p>
            <w:r>
              <w:t>0</w:t>
            </w:r>
          </w:p>
        </w:tc>
      </w:tr>
      <w:tr>
        <w:tc>
          <w:tcPr>
            <w:tcW w:type="dxa" w:w="4320"/>
          </w:tcPr>
          <w:p>
            <w:r>
              <w:t xml:space="preserve">  Critical findings</w:t>
            </w:r>
          </w:p>
        </w:tc>
        <w:tc>
          <w:tcPr>
            <w:tcW w:type="dxa" w:w="4320"/>
          </w:tcPr>
          <w:p>
            <w:r>
              <w:t>9</w:t>
            </w:r>
          </w:p>
        </w:tc>
      </w:tr>
      <w:tr>
        <w:tc>
          <w:tcPr>
            <w:tcW w:type="dxa" w:w="4320"/>
          </w:tcPr>
          <w:p>
            <w:r>
              <w:t xml:space="preserve">  High findings</w:t>
            </w:r>
          </w:p>
        </w:tc>
        <w:tc>
          <w:tcPr>
            <w:tcW w:type="dxa" w:w="4320"/>
          </w:tcPr>
          <w:p>
            <w:r>
              <w:t>4</w:t>
            </w:r>
          </w:p>
        </w:tc>
      </w:tr>
      <w:tr>
        <w:tc>
          <w:tcPr>
            <w:tcW w:type="dxa" w:w="4320"/>
          </w:tcPr>
          <w:p>
            <w:r>
              <w:t xml:space="preserve">  Medium findings</w:t>
            </w:r>
          </w:p>
        </w:tc>
        <w:tc>
          <w:tcPr>
            <w:tcW w:type="dxa" w:w="4320"/>
          </w:tcPr>
          <w:p>
            <w:r>
              <w:t>1</w:t>
            </w:r>
          </w:p>
        </w:tc>
      </w:tr>
    </w:tbl>
    <w:p/>
    <w:p>
      <w:pPr>
        <w:pStyle w:val="Heading1"/>
      </w:pPr>
      <w:r>
        <w:t>Modules &amp; Rules</w:t>
      </w:r>
    </w:p>
    <w:p>
      <w:pPr>
        <w:pStyle w:val="Heading2"/>
      </w:pPr>
      <w:r>
        <w:t>Module 0: Pre-Conditions and Company Classification</w:t>
      </w:r>
    </w:p>
    <w:p>
      <w:pPr>
        <w:spacing w:before="120"/>
      </w:pPr>
      <w:r>
        <w:rPr>
          <w:b/>
          <w:sz w:val="22"/>
        </w:rPr>
        <w:t>Rule P1</w:t>
      </w:r>
      <w:r>
        <w:t xml:space="preserve"> — Specialist Technology Company Status</w:t>
      </w:r>
      <w:r>
        <w:t xml:space="preserve">   </w:t>
      </w:r>
      <w:r>
        <w:rPr>
          <w:b/>
          <w:color w:val="1A7A3C"/>
        </w:rPr>
        <w:t>[clear]</w:t>
      </w:r>
    </w:p>
    <w:p>
      <w:pPr>
        <w:spacing w:before="0" w:after="0"/>
        <w:ind w:left="360"/>
      </w:pPr>
      <w:r>
        <w:rPr>
          <w:b/>
          <w:sz w:val="20"/>
        </w:rPr>
        <w:t xml:space="preserve">Analysis: </w:t>
      </w:r>
      <w:r>
        <w:rPr>
          <w:sz w:val="20"/>
        </w:rPr>
        <w:t>The prospectus identifies the company as an 'automotive-grade computing SoC' provider, which falls under the 'Advanced hardware and software' industry and 'Semiconductors' acceptable sector per Guide para 2.5. This classification is consistent with the business description in tier1/business, pages 214 and 232-234, which details the design of SoCs for autonomous driving.</w:t>
      </w:r>
    </w:p>
    <w:p>
      <w:pPr>
        <w:spacing w:before="0" w:after="0"/>
        <w:ind w:left="360"/>
      </w:pPr>
      <w:r>
        <w:rPr>
          <w:b/>
          <w:sz w:val="20"/>
        </w:rPr>
        <w:t xml:space="preserve">Source: </w:t>
      </w:r>
      <w:r>
        <w:rPr>
          <w:sz w:val="20"/>
        </w:rPr>
        <w:t>tier1/business</w:t>
      </w:r>
    </w:p>
    <w:p>
      <w:pPr>
        <w:spacing w:before="0" w:after="0"/>
        <w:ind w:left="360"/>
      </w:pPr>
      <w:r>
        <w:rPr>
          <w:b/>
          <w:sz w:val="20"/>
        </w:rPr>
        <w:t xml:space="preserve">Page: </w:t>
      </w:r>
      <w:r>
        <w:rPr>
          <w:sz w:val="20"/>
        </w:rPr>
        <w:t>232</w:t>
      </w:r>
    </w:p>
    <w:p>
      <w:pPr>
        <w:spacing w:before="0" w:after="0"/>
        <w:ind w:left="360"/>
      </w:pPr>
      <w:r>
        <w:rPr>
          <w:b/>
          <w:sz w:val="20"/>
        </w:rPr>
        <w:t xml:space="preserve">Anchor: </w:t>
      </w:r>
      <w:r>
        <w:rPr>
          <w:sz w:val="20"/>
        </w:rPr>
        <w:t>The semiconductors designed by us are computing SoCs for</w:t>
      </w:r>
    </w:p>
    <w:p>
      <w:pPr>
        <w:spacing w:before="120"/>
      </w:pPr>
      <w:r>
        <w:rPr>
          <w:b/>
          <w:sz w:val="22"/>
        </w:rPr>
        <w:t>Rule P2</w:t>
      </w:r>
      <w:r>
        <w:t xml:space="preserve"> — Commercial or Pre-Commercial Classification</w:t>
      </w:r>
      <w:r>
        <w:t xml:space="preserve">   </w:t>
      </w:r>
      <w:r>
        <w:rPr>
          <w:b/>
          <w:color w:val="1A7A3C"/>
        </w:rPr>
        <w:t>[clear]</w:t>
      </w:r>
    </w:p>
    <w:p>
      <w:pPr>
        <w:spacing w:before="0" w:after="0"/>
        <w:ind w:left="360"/>
      </w:pPr>
      <w:r>
        <w:rPr>
          <w:b/>
          <w:sz w:val="20"/>
        </w:rPr>
        <w:t xml:space="preserve">Analysis: </w:t>
      </w:r>
      <w:r>
        <w:rPr>
          <w:sz w:val="20"/>
        </w:rPr>
        <w:t>The prospectus states on page 125 of tier1/information_about_this_prospectus_and_the_global_offering that the company satisfies the requirements as a Commercial Company. The financial information on page 366 of tier1/financial_information discloses revenue of RMB312.4 million for the year ended Dec 31, 2023, which exceeds the HK$250m threshold (PARAM_COMM_REV_MIN), satisfying MB Rule 18C.03(4).</w:t>
      </w:r>
    </w:p>
    <w:p>
      <w:pPr>
        <w:spacing w:before="0" w:after="0"/>
        <w:ind w:left="360"/>
      </w:pPr>
      <w:r>
        <w:rPr>
          <w:b/>
          <w:sz w:val="20"/>
        </w:rPr>
        <w:t xml:space="preserve">Source: </w:t>
      </w:r>
      <w:r>
        <w:rPr>
          <w:sz w:val="20"/>
        </w:rPr>
        <w:t>tier1/information_about_this_prospectus_and_the_global_offering</w:t>
      </w:r>
    </w:p>
    <w:p>
      <w:pPr>
        <w:spacing w:before="0" w:after="0"/>
        <w:ind w:left="360"/>
      </w:pPr>
      <w:r>
        <w:rPr>
          <w:b/>
          <w:sz w:val="20"/>
        </w:rPr>
        <w:t xml:space="preserve">Page: </w:t>
      </w:r>
      <w:r>
        <w:rPr>
          <w:sz w:val="20"/>
        </w:rPr>
        <w:t>125</w:t>
      </w:r>
    </w:p>
    <w:p>
      <w:pPr>
        <w:spacing w:before="0" w:after="0"/>
        <w:ind w:left="360"/>
      </w:pPr>
      <w:r>
        <w:rPr>
          <w:b/>
          <w:sz w:val="20"/>
        </w:rPr>
        <w:t xml:space="preserve">Anchor: </w:t>
      </w:r>
      <w:r>
        <w:rPr>
          <w:sz w:val="20"/>
        </w:rPr>
        <w:t>we satisfy the requirements under Rule 18C.03 of the</w:t>
      </w:r>
    </w:p>
    <w:p>
      <w:pPr>
        <w:spacing w:before="120"/>
      </w:pPr>
      <w:r>
        <w:rPr>
          <w:b/>
          <w:sz w:val="22"/>
        </w:rPr>
        <w:t>Rule P3</w:t>
      </w:r>
      <w:r>
        <w:t xml:space="preserve"> — Market Capitalisation Tier</w:t>
      </w:r>
      <w:r>
        <w:t xml:space="preserve">   </w:t>
      </w:r>
      <w:r>
        <w:rPr>
          <w:b/>
          <w:color w:val="1A7A3C"/>
        </w:rPr>
        <w:t>[clear]</w:t>
      </w:r>
    </w:p>
    <w:p>
      <w:pPr>
        <w:spacing w:before="0" w:after="0"/>
        <w:ind w:left="360"/>
      </w:pPr>
      <w:r>
        <w:rPr>
          <w:b/>
          <w:sz w:val="20"/>
        </w:rPr>
        <w:t xml:space="preserve">Analysis: </w:t>
      </w:r>
      <w:r>
        <w:rPr>
          <w:sz w:val="20"/>
        </w:rPr>
        <w:t>The prospectus discloses an expected market capitalization. Page 125 of tier1/information_about_this_prospectus_and_the_global_offering states it 'exceeds HK$6 billion'. More specifically, page 195 of tier2/pre_ipo_investment assumes the 'expected market capitalization at the time of Listing will exceed HK$15 billion.' This places the company in the HK$15-30bn tier for the purpose of determining the aggregate SII threshold under para 26(ii).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w:t>
      </w:r>
    </w:p>
    <w:p/>
    <w:p>
      <w:pPr>
        <w:pStyle w:val="Heading2"/>
      </w:pPr>
      <w:r>
        <w:t>Module A: Independence of Sophisticated Investors (Paras 17–19)</w:t>
      </w:r>
    </w:p>
    <w:p>
      <w:pPr>
        <w:spacing w:before="120"/>
      </w:pPr>
      <w:r>
        <w:rPr>
          <w:b/>
          <w:sz w:val="22"/>
        </w:rPr>
        <w:t>Rule A1</w:t>
      </w:r>
      <w:r>
        <w:t xml:space="preserve"> — Date of Independence Assessment</w:t>
      </w:r>
      <w:r>
        <w:t xml:space="preserve">   </w:t>
      </w:r>
      <w:r>
        <w:rPr>
          <w:b/>
          <w:color w:val="E67E00"/>
        </w:rPr>
        <w:t>[has_issues]</w:t>
      </w:r>
    </w:p>
    <w:p>
      <w:pPr>
        <w:spacing w:before="0" w:after="0"/>
        <w:ind w:left="360"/>
      </w:pPr>
      <w:r>
        <w:rPr>
          <w:b/>
          <w:sz w:val="20"/>
        </w:rPr>
        <w:t xml:space="preserve">Analysis: </w:t>
      </w:r>
      <w:r>
        <w:rPr>
          <w:sz w:val="20"/>
        </w:rPr>
        <w:t>The prospectus makes a general statement about SII independence but fails to disclose the specific definitive agreement date for each SII, which is the anchor date for the independence assessment under para 17. This omission prevents verification of the timing of the independence assessment.</w:t>
      </w:r>
    </w:p>
    <w:p>
      <w:pPr>
        <w:ind w:left="360"/>
      </w:pPr>
      <w:r>
        <w:rPr>
          <w:b/>
          <w:sz w:val="20"/>
        </w:rPr>
        <w:t>Finding 1: Disclosure [Critical / Absent]</w:t>
      </w:r>
    </w:p>
    <w:p>
      <w:pPr>
        <w:spacing w:before="0" w:after="0"/>
        <w:ind w:left="360"/>
      </w:pPr>
      <w:r>
        <w:rPr>
          <w:b/>
          <w:sz w:val="20"/>
        </w:rPr>
        <w:t xml:space="preserve">Explanation: </w:t>
      </w:r>
      <w:r>
        <w:rPr>
          <w:sz w:val="20"/>
        </w:rPr>
        <w:t>Rule A1 requires the disclosure of the definitive agreement date for each SII to establish the anchor date for the independence assessment. The prospectus, in tier2/pre_ipo_investment, page 191, footnote (1), provides only a generic formula ('a date not more than six months prior to the date on which the relevant investor signed the relevant definitive agreement') instead of the specific dates for each of the nine SIIs. This is a critical omission as it makes the independence assessment date unverifiable.</w:t>
      </w:r>
    </w:p>
    <w:p>
      <w:pPr>
        <w:spacing w:before="0" w:after="0"/>
        <w:ind w:left="360"/>
      </w:pPr>
      <w:r>
        <w:rPr>
          <w:b/>
          <w:sz w:val="20"/>
        </w:rPr>
        <w:t xml:space="preserve">Recommendation: </w:t>
      </w:r>
      <w:r>
        <w:rPr>
          <w:sz w:val="20"/>
        </w:rPr>
        <w:t>Disclose the specific date of signing of the definitive investment agreement for each of the nine Sophisticated Independent Investors.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not more than six months prior to the date</w:t>
      </w:r>
    </w:p>
    <w:p>
      <w:pPr>
        <w:spacing w:before="120"/>
      </w:pPr>
      <w:r>
        <w:rPr>
          <w:b/>
          <w:sz w:val="22"/>
        </w:rPr>
        <w:t>Rule A2</w:t>
      </w:r>
      <w:r>
        <w:t xml:space="preserve"> — Core Connected Persons Excluded</w:t>
      </w:r>
      <w:r>
        <w:t xml:space="preserve">   </w:t>
      </w:r>
      <w:r>
        <w:rPr>
          <w:b/>
          <w:color w:val="1A7A3C"/>
        </w:rPr>
        <w:t>[clear]</w:t>
      </w:r>
    </w:p>
    <w:p>
      <w:pPr>
        <w:spacing w:before="0" w:after="0"/>
        <w:ind w:left="360"/>
      </w:pPr>
      <w:r>
        <w:rPr>
          <w:b/>
          <w:sz w:val="20"/>
        </w:rPr>
        <w:t xml:space="preserve">Analysis: </w:t>
      </w:r>
      <w:r>
        <w:rPr>
          <w:sz w:val="20"/>
        </w:rPr>
        <w:t>The prospectus states in tier2/pre_ipo_investment, page 186, that 'each of our Sophisticated Independent Investors is independent from and not connected with any Director, chief executive or substantial shareholder of our Company'. This general statement addresses the core connected person exclusion under para 18(i). No SII is identified as a substantial shareholder invoking the size-exception.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is independent from and not connected with any Director</w:t>
      </w:r>
    </w:p>
    <w:p>
      <w:pPr>
        <w:spacing w:before="120"/>
      </w:pPr>
      <w:r>
        <w:rPr>
          <w:b/>
          <w:sz w:val="22"/>
        </w:rPr>
        <w:t>Rule A3</w:t>
      </w:r>
      <w:r>
        <w:t xml:space="preserve"> — Controlling Shareholders Excluded</w:t>
      </w:r>
      <w:r>
        <w:t xml:space="preserve">   </w:t>
      </w:r>
      <w:r>
        <w:rPr>
          <w:b/>
          <w:color w:val="1A7A3C"/>
        </w:rPr>
        <w:t>[clear]</w:t>
      </w:r>
    </w:p>
    <w:p>
      <w:pPr>
        <w:spacing w:before="0" w:after="0"/>
        <w:ind w:left="360"/>
      </w:pPr>
      <w:r>
        <w:rPr>
          <w:b/>
          <w:sz w:val="20"/>
        </w:rPr>
        <w:t xml:space="preserve">Analysis: </w:t>
      </w:r>
      <w:r>
        <w:rPr>
          <w:sz w:val="20"/>
        </w:rPr>
        <w:t>The prospectus identifies Mr. Shan as the Single Largest Shareholder but states on page 330 of tier1/cap_table that the Company will not have any controlling shareholders upon listing. A cross-check of the SII list against Mr. Shan and his associates reveals no overlaps, satisfying para 18(ii).</w:t>
      </w:r>
    </w:p>
    <w:p>
      <w:pPr>
        <w:spacing w:before="0" w:after="0"/>
        <w:ind w:left="360"/>
      </w:pPr>
      <w:r>
        <w:rPr>
          <w:b/>
          <w:sz w:val="20"/>
        </w:rPr>
        <w:t xml:space="preserve">Source: </w:t>
      </w:r>
      <w:r>
        <w:rPr>
          <w:sz w:val="20"/>
        </w:rPr>
        <w:t>tier1/cap_table</w:t>
      </w:r>
    </w:p>
    <w:p>
      <w:pPr>
        <w:spacing w:before="0" w:after="0"/>
        <w:ind w:left="360"/>
      </w:pPr>
      <w:r>
        <w:rPr>
          <w:b/>
          <w:sz w:val="20"/>
        </w:rPr>
        <w:t xml:space="preserve">Page: </w:t>
      </w:r>
      <w:r>
        <w:rPr>
          <w:sz w:val="20"/>
        </w:rPr>
        <w:t>330</w:t>
      </w:r>
    </w:p>
    <w:p>
      <w:pPr>
        <w:spacing w:before="0" w:after="0"/>
        <w:ind w:left="360"/>
      </w:pPr>
      <w:r>
        <w:rPr>
          <w:b/>
          <w:sz w:val="20"/>
        </w:rPr>
        <w:t xml:space="preserve">Anchor: </w:t>
      </w:r>
      <w:r>
        <w:rPr>
          <w:sz w:val="20"/>
        </w:rPr>
        <w:t>will not have any controlling shareholders as defined under</w:t>
      </w:r>
    </w:p>
    <w:p>
      <w:pPr>
        <w:spacing w:before="120"/>
      </w:pPr>
      <w:r>
        <w:rPr>
          <w:b/>
          <w:sz w:val="22"/>
        </w:rPr>
        <w:t>Rule A4</w:t>
      </w:r>
      <w:r>
        <w:t xml:space="preserve"> — Founder and Close Associates Excluded</w:t>
      </w:r>
      <w:r>
        <w:t xml:space="preserve">   </w:t>
      </w:r>
      <w:r>
        <w:rPr>
          <w:b/>
          <w:color w:val="1A7A3C"/>
        </w:rPr>
        <w:t>[clear]</w:t>
      </w:r>
    </w:p>
    <w:p>
      <w:pPr>
        <w:spacing w:before="0" w:after="0"/>
        <w:ind w:left="360"/>
      </w:pPr>
      <w:r>
        <w:rPr>
          <w:b/>
          <w:sz w:val="20"/>
        </w:rPr>
        <w:t xml:space="preserve">Analysis: </w:t>
      </w:r>
      <w:r>
        <w:rPr>
          <w:sz w:val="20"/>
        </w:rPr>
        <w:t>The founders are identified as Mr. Shan and Mr. Liu. A cross-reference of the SII list in tier2/pre_ipo_investment against the founders and their close associates (as described in tier1/cap_table, page 329) shows no overlap, satisfying para 18(iii).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w:t>
      </w:r>
    </w:p>
    <w:p>
      <w:pPr>
        <w:spacing w:before="120"/>
      </w:pPr>
      <w:r>
        <w:rPr>
          <w:b/>
          <w:sz w:val="22"/>
        </w:rPr>
        <w:t>Rule A5</w:t>
      </w:r>
      <w:r>
        <w:t xml:space="preserve"> — Acting-in-Concert and Prior Business Relationships</w:t>
      </w:r>
      <w:r>
        <w:t xml:space="preserve">   </w:t>
      </w:r>
      <w:r>
        <w:rPr>
          <w:b/>
          <w:color w:val="E67E00"/>
        </w:rPr>
        <w:t>[has_issues]</w:t>
      </w:r>
    </w:p>
    <w:p>
      <w:pPr>
        <w:spacing w:before="0" w:after="0"/>
        <w:ind w:left="360"/>
      </w:pPr>
      <w:r>
        <w:rPr>
          <w:b/>
          <w:sz w:val="20"/>
        </w:rPr>
        <w:t xml:space="preserve">Analysis: </w:t>
      </w:r>
      <w:r>
        <w:rPr>
          <w:sz w:val="20"/>
        </w:rPr>
        <w:t>The prospectus discloses prior business relationships with Geely SII and SAIC Motor SII. However, it fails to provide the specific mitigating factors required by para 19, such as the timing, duration, commercial terms, and nature of operational involvement, to substantiate their independence.</w:t>
      </w:r>
    </w:p>
    <w:p>
      <w:pPr>
        <w:ind w:left="360"/>
      </w:pPr>
      <w:r>
        <w:rPr>
          <w:b/>
          <w:sz w:val="20"/>
        </w:rPr>
        <w:t>Finding 1: Disclosure [High / Insufficient]</w:t>
      </w:r>
    </w:p>
    <w:p>
      <w:pPr>
        <w:spacing w:before="0" w:after="0"/>
        <w:ind w:left="360"/>
      </w:pPr>
      <w:r>
        <w:rPr>
          <w:b/>
          <w:sz w:val="20"/>
        </w:rPr>
        <w:t xml:space="preserve">Explanation: </w:t>
      </w:r>
      <w:r>
        <w:rPr>
          <w:sz w:val="20"/>
        </w:rPr>
        <w:t>Rule A5 requires disclosure of mitigating factors for any SII with a prior business relationship. Page 191 of tier2/pre_ipo_investment discloses that the Group has business cooperation with Geely SII and SAIC Motor SII. However, it does not provide the required details on the timing, duration, commercial terms, and operational involvement of these relationships to allow an assessment of their independence per para 19 of the Guide.</w:t>
      </w:r>
    </w:p>
    <w:p>
      <w:pPr>
        <w:spacing w:before="0" w:after="0"/>
        <w:ind w:left="360"/>
      </w:pPr>
      <w:r>
        <w:rPr>
          <w:b/>
          <w:sz w:val="20"/>
        </w:rPr>
        <w:t xml:space="preserve">Recommendation: </w:t>
      </w:r>
      <w:r>
        <w:rPr>
          <w:sz w:val="20"/>
        </w:rPr>
        <w:t>For Geely SII and SAIC Motor SII, disclose the specific timing, duration, commercial terms, and nature of operational involvement of the business relationships to demonstrate that independence is not compromised.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acquainted with Geely SII through discussions on business cooperations.</w:t>
      </w:r>
    </w:p>
    <w:p>
      <w:pPr>
        <w:spacing w:before="120"/>
      </w:pPr>
      <w:r>
        <w:rPr>
          <w:b/>
          <w:sz w:val="22"/>
        </w:rPr>
        <w:t>Rule A6</w:t>
      </w:r>
      <w:r>
        <w:t xml:space="preserve"> — Board Representation by SII</w:t>
      </w:r>
      <w:r>
        <w:t xml:space="preserve">   </w:t>
      </w:r>
      <w:r>
        <w:rPr>
          <w:b/>
          <w:color w:val="E67E00"/>
        </w:rPr>
        <w:t>[has_issues]</w:t>
      </w:r>
    </w:p>
    <w:p>
      <w:pPr>
        <w:spacing w:before="0" w:after="0"/>
        <w:ind w:left="360"/>
      </w:pPr>
      <w:r>
        <w:rPr>
          <w:b/>
          <w:sz w:val="20"/>
        </w:rPr>
        <w:t xml:space="preserve">Analysis: </w:t>
      </w:r>
      <w:r>
        <w:rPr>
          <w:sz w:val="20"/>
        </w:rPr>
        <w:t>The prospectus discloses that Dr. YANG Lei, a non-executive Director, was a partner at Northern Light Venture Capital, the manager of a Pathfinder SII. This constitutes a board link. The disclosure fails to explicitly state that the SII is not a close associate of the director, as required by Fn 8 of the Guide to demonstrate independence.</w:t>
      </w:r>
    </w:p>
    <w:p>
      <w:pPr>
        <w:ind w:left="360"/>
      </w:pPr>
      <w:r>
        <w:rPr>
          <w:b/>
          <w:sz w:val="20"/>
        </w:rPr>
        <w:t>Finding 1: Disclosure [High / Absent]</w:t>
      </w:r>
    </w:p>
    <w:p>
      <w:pPr>
        <w:spacing w:before="0" w:after="0"/>
        <w:ind w:left="360"/>
      </w:pPr>
      <w:r>
        <w:rPr>
          <w:b/>
          <w:sz w:val="20"/>
        </w:rPr>
        <w:t xml:space="preserve">Explanation: </w:t>
      </w:r>
      <w:r>
        <w:rPr>
          <w:sz w:val="20"/>
        </w:rPr>
        <w:t>Rule A6, per Fn 8 of the Guide, requires a statement that an SII with board representation is not a close associate of the relevant director. Page 186 of tier2/pre_ipo_investment discloses that Dr. YANG Lei, a non-executive Director, was a partner at Northern Light Venture Capital (manager of a Pathfinder SII). However, the prospectus does not contain the required negative statement confirming that the Northern Light SIIs are not a close associate of Dr. YANG Lei.</w:t>
      </w:r>
    </w:p>
    <w:p>
      <w:pPr>
        <w:spacing w:before="0" w:after="0"/>
        <w:ind w:left="360"/>
      </w:pPr>
      <w:r>
        <w:rPr>
          <w:b/>
          <w:sz w:val="20"/>
        </w:rPr>
        <w:t xml:space="preserve">Recommendation: </w:t>
      </w:r>
      <w:r>
        <w:rPr>
          <w:sz w:val="20"/>
        </w:rPr>
        <w:t>Add an explicit statement confirming that the Northern Light SIIs are not a close associate of Dr. YANG Lei, and explain the basis for this conclusion.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w:t>
      </w:r>
    </w:p>
    <w:p/>
    <w:p>
      <w:pPr>
        <w:pStyle w:val="Heading2"/>
      </w:pPr>
      <w:r>
        <w:t>Module B: Sophistication of Investors (Paras 20–24)</w:t>
      </w:r>
    </w:p>
    <w:p>
      <w:pPr>
        <w:spacing w:before="120"/>
      </w:pPr>
      <w:r>
        <w:rPr>
          <w:b/>
          <w:sz w:val="22"/>
        </w:rPr>
        <w:t>Rule B1</w:t>
      </w:r>
      <w:r>
        <w:t xml:space="preserve"> — Sophistication Requirement Generally</w:t>
      </w:r>
      <w:r>
        <w:t xml:space="preserve">   </w:t>
      </w:r>
      <w:r>
        <w:rPr>
          <w:b/>
          <w:color w:val="1A7A3C"/>
        </w:rPr>
        <w:t>[clear]</w:t>
      </w:r>
    </w:p>
    <w:p>
      <w:pPr>
        <w:spacing w:before="0" w:after="0"/>
        <w:ind w:left="360"/>
      </w:pPr>
      <w:r>
        <w:rPr>
          <w:b/>
          <w:sz w:val="20"/>
        </w:rPr>
        <w:t xml:space="preserve">Analysis: </w:t>
      </w:r>
      <w:r>
        <w:rPr>
          <w:sz w:val="20"/>
        </w:rPr>
        <w:t>The prospectus provides a distinct sophistication analysis for each of the nine SIIs, identifying them by full legal name and stating the basis for qualification under para 21 or para 23. This is detailed in tier2/pre_ipo_investment on pages 186-191.</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Information relating to our key Pre-IPO Investors</w:t>
      </w:r>
    </w:p>
    <w:p>
      <w:pPr>
        <w:spacing w:before="120"/>
      </w:pPr>
      <w:r>
        <w:rPr>
          <w:b/>
          <w:sz w:val="22"/>
        </w:rPr>
        <w:t>Rule B2</w:t>
      </w:r>
      <w:r>
        <w:t xml:space="preserve"> — Asset Management / Fund Threshold</w:t>
      </w:r>
      <w:r>
        <w:t xml:space="preserve">   </w:t>
      </w:r>
      <w:r>
        <w:rPr>
          <w:b/>
          <w:color w:val="E67E00"/>
        </w:rPr>
        <w:t>[has_issues]</w:t>
      </w:r>
    </w:p>
    <w:p>
      <w:pPr>
        <w:spacing w:before="0" w:after="0"/>
        <w:ind w:left="360"/>
      </w:pPr>
      <w:r>
        <w:rPr>
          <w:b/>
          <w:sz w:val="20"/>
        </w:rPr>
        <w:t xml:space="preserve">Analysis: </w:t>
      </w:r>
      <w:r>
        <w:rPr>
          <w:sz w:val="20"/>
        </w:rPr>
        <w:t>The sophistication of Northern Light Venture Capital, SummitView Capital, BOCGI, and CS Capital is claimed on the basis of AUM. While the disclosed figures meet the HK$15bn threshold, the use of vague language like 'approximately' for some figures is a language quality issue.</w:t>
      </w:r>
    </w:p>
    <w:p>
      <w:pPr>
        <w:ind w:left="360"/>
      </w:pPr>
      <w:r>
        <w:rPr>
          <w:b/>
          <w:sz w:val="20"/>
        </w:rPr>
        <w:t>Finding 1: Language [Critical / Insufficient]</w:t>
      </w:r>
    </w:p>
    <w:p>
      <w:pPr>
        <w:spacing w:before="0" w:after="0"/>
        <w:ind w:left="360"/>
      </w:pPr>
      <w:r>
        <w:rPr>
          <w:b/>
          <w:sz w:val="20"/>
        </w:rPr>
        <w:t xml:space="preserve">Explanation: </w:t>
      </w:r>
      <w:r>
        <w:rPr>
          <w:sz w:val="20"/>
        </w:rPr>
        <w:t>Rule B2 requires clear disclosure of AUM meeting the PARAM_B2_AUM_MIN threshold. On page 186 of tier2/pre_ipo_investment, the AUM of Northern Light Venture Capital is stated as 'approximately HK$17.69 billion' and 'approximately HK$31.19 billion'. The use of 'approximately' obscures whether the HK$15bn threshold is precisely met and is inconsistent with the need for specific, verifiable figures.</w:t>
      </w:r>
    </w:p>
    <w:p>
      <w:pPr>
        <w:spacing w:before="0" w:after="0"/>
        <w:ind w:left="360"/>
      </w:pPr>
      <w:r>
        <w:rPr>
          <w:b/>
          <w:sz w:val="20"/>
        </w:rPr>
        <w:t xml:space="preserve">Recommendation: </w:t>
      </w:r>
      <w:r>
        <w:rPr>
          <w:sz w:val="20"/>
        </w:rPr>
        <w:t>Remove the word 'approximately' and disclose the exact AUM figures for Northern Light Venture Capital as of the two reference dates.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was approximately HK$17.69 billion as of June 30, 2016(1)</w:t>
      </w:r>
    </w:p>
    <w:p>
      <w:pPr>
        <w:spacing w:before="120"/>
      </w:pPr>
      <w:r>
        <w:rPr>
          <w:b/>
          <w:sz w:val="22"/>
        </w:rPr>
        <w:t>Rule B3</w:t>
      </w:r>
      <w:r>
        <w:t xml:space="preserve"> — Corporate Portfolio Threshold</w:t>
      </w:r>
      <w:r>
        <w:t xml:space="preserve">   </w:t>
      </w:r>
      <w:r>
        <w:rPr>
          <w:b/>
          <w:color w:val="1A7A3C"/>
        </w:rPr>
        <w:t>[clear]</w:t>
      </w:r>
    </w:p>
    <w:p>
      <w:pPr>
        <w:spacing w:before="0" w:after="0"/>
        <w:ind w:left="360"/>
      </w:pPr>
      <w:r>
        <w:rPr>
          <w:b/>
          <w:sz w:val="20"/>
        </w:rPr>
        <w:t xml:space="preserve">Analysis: </w:t>
      </w:r>
      <w:r>
        <w:rPr>
          <w:sz w:val="20"/>
        </w:rPr>
        <w:t>The sophistication of Xiaomi and Tencent is claimed on the basis of their diverse investment portfolios. The disclosed portfolio sizes (RMB74.5bn/RMB68.9bn for Xiaomi; RMB878.7bn/RMB701.7bn for Tencent) on page 189 of tier2/pre_ipo_investment clearly exceed the HK$15bn threshold (PARAM_B3_PORT_MIN). The description of their businesses supports the 'diverse' nature of their portfolios.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has a diverse investment portfolio of approximately RMB74.5 billion</w:t>
      </w:r>
    </w:p>
    <w:p>
      <w:pPr>
        <w:spacing w:before="120"/>
      </w:pPr>
      <w:r>
        <w:rPr>
          <w:b/>
          <w:sz w:val="22"/>
        </w:rPr>
        <w:t>Rule B4</w:t>
      </w:r>
      <w:r>
        <w:t xml:space="preserve"> — Specialist Technology Focus Threshold</w:t>
      </w:r>
      <w:r>
        <w:t xml:space="preserve">   </w:t>
      </w:r>
      <w:r>
        <w:rPr>
          <w:b/>
          <w:color w:val="E67E00"/>
        </w:rPr>
        <w:t>[has_issues]</w:t>
      </w:r>
    </w:p>
    <w:p>
      <w:pPr>
        <w:spacing w:before="0" w:after="0"/>
        <w:ind w:left="360"/>
      </w:pPr>
      <w:r>
        <w:rPr>
          <w:b/>
          <w:sz w:val="20"/>
        </w:rPr>
        <w:t xml:space="preserve">Analysis: </w:t>
      </w:r>
      <w:r>
        <w:rPr>
          <w:sz w:val="20"/>
        </w:rPr>
        <w:t>Oceanpine SIIs and SummitView SIIs appear to rely on the tech-focused portfolio basis under para 21(iii). However, the disclosures are insufficient. For Oceanpine, the AUM at the first reference date is below HK$15bn, and for both, the claim that value is 'primarily derived' from tech investments is not substantiated with a specific percentage or breakdown.</w:t>
      </w:r>
    </w:p>
    <w:p>
      <w:pPr>
        <w:ind w:left="360"/>
      </w:pPr>
      <w:r>
        <w:rPr>
          <w:b/>
          <w:sz w:val="20"/>
        </w:rPr>
        <w:t>Finding 1: Threshold [Critical / Insufficient]</w:t>
      </w:r>
    </w:p>
    <w:p>
      <w:pPr>
        <w:spacing w:before="0" w:after="0"/>
        <w:ind w:left="360"/>
      </w:pPr>
      <w:r>
        <w:rPr>
          <w:b/>
          <w:sz w:val="20"/>
        </w:rPr>
        <w:t xml:space="preserve">Explanation: </w:t>
      </w:r>
      <w:r>
        <w:rPr>
          <w:sz w:val="20"/>
        </w:rPr>
        <w:t>Rule B4 applies if an investor's AUM is below HK$15bn but above HK$5bn, and primarily derived from Specialist Technology investments. On page 187 of tier2/pre_ipo_investment, Oceanpine SIIs' AUM at the first reference date is stated as 'approximately HK$5.9 billion', which is below PARAM_B2_AUM_MIN (HK$15bn) but above PARAM_B4_TECH_MIN (HK$5bn). This triggers the need to satisfy the 'primarily derived' test.</w:t>
      </w:r>
    </w:p>
    <w:p>
      <w:pPr>
        <w:spacing w:before="0" w:after="0"/>
        <w:ind w:left="360"/>
      </w:pPr>
      <w:r>
        <w:rPr>
          <w:b/>
          <w:sz w:val="20"/>
        </w:rPr>
        <w:t xml:space="preserve">Recommendation: </w:t>
      </w:r>
      <w:r>
        <w:rPr>
          <w:sz w:val="20"/>
        </w:rPr>
        <w:t>Confirm if Oceanpine SIIs are relying on the para 21(iii) basis. If so, provide a quantitative breakdown to substantiate that Specialist Technology investments constitute the majority of the portfolio's value.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had an AUM of approximately HK$5.9 billion as of</w:t>
      </w:r>
    </w:p>
    <w:p>
      <w:pPr>
        <w:ind w:left="360"/>
      </w:pPr>
      <w:r>
        <w:rPr>
          <w:b/>
          <w:sz w:val="20"/>
        </w:rPr>
        <w:t>Finding 2: Reasoning [Critical / Insufficient]</w:t>
      </w:r>
    </w:p>
    <w:p>
      <w:pPr>
        <w:spacing w:before="0" w:after="0"/>
        <w:ind w:left="360"/>
      </w:pPr>
      <w:r>
        <w:rPr>
          <w:b/>
          <w:sz w:val="20"/>
        </w:rPr>
        <w:t xml:space="preserve">Explanation: </w:t>
      </w:r>
      <w:r>
        <w:rPr>
          <w:sz w:val="20"/>
        </w:rPr>
        <w:t>Rule B4 requires the 'primarily derived' from Specialist Technology investments claim to be substantiated. On page 187 of tier2/pre_ipo_investment, the disclosure for Oceanpine SIIs states its AUM is 'derived primarily from the valuation of their investments in Specialist Technology Companies' but provides no specific percentage or breakdown to support this claim. Similarly, on page 189, SummitView's AUM is stated as 'with more than HK$5 billion in Specialist Technology Companies', which does not confirm this portion is the majority. This is insufficient to demonstrate compliance.</w:t>
      </w:r>
    </w:p>
    <w:p>
      <w:pPr>
        <w:spacing w:before="0" w:after="0"/>
        <w:ind w:left="360"/>
      </w:pPr>
      <w:r>
        <w:rPr>
          <w:b/>
          <w:sz w:val="20"/>
        </w:rPr>
        <w:t xml:space="preserve">Recommendation: </w:t>
      </w:r>
      <w:r>
        <w:rPr>
          <w:sz w:val="20"/>
        </w:rPr>
        <w:t>For both Oceanpine SIIs and SummitView SIIs, disclose the specific percentage of the portfolio's value derived from Specialist Technology investments to substantiate the 'primarily derived' claim under para 21(iii).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derived primarily from the valuation of their investments in</w:t>
      </w:r>
    </w:p>
    <w:p>
      <w:pPr>
        <w:spacing w:before="120"/>
      </w:pPr>
      <w:r>
        <w:rPr>
          <w:b/>
          <w:sz w:val="22"/>
        </w:rPr>
        <w:t>Rule B5</w:t>
      </w:r>
      <w:r>
        <w:t xml:space="preserve"> — Key Market Participant</w:t>
      </w:r>
      <w:r>
        <w:t xml:space="preserve">   </w:t>
      </w:r>
      <w:r>
        <w:rPr>
          <w:b/>
          <w:color w:val="1A7A3C"/>
        </w:rPr>
        <w:t>[clear]</w:t>
      </w:r>
    </w:p>
    <w:p>
      <w:pPr>
        <w:spacing w:before="0" w:after="0"/>
        <w:ind w:left="360"/>
      </w:pPr>
      <w:r>
        <w:rPr>
          <w:b/>
          <w:sz w:val="20"/>
        </w:rPr>
        <w:t xml:space="preserve">Analysis: </w:t>
      </w:r>
      <w:r>
        <w:rPr>
          <w:sz w:val="20"/>
        </w:rPr>
        <w:t>The sophistication of Geely SII and SAIC Motor SII is claimed under para 21(iv) as key participants in the downstream automotive industry. Page 191 of tier2/pre_ipo_investment cites Frost &amp; Sullivan data regarding their market share and size in terms of sales volume, which substantiates the claim.</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is a key participant in the downstream automotive industry</w:t>
      </w:r>
    </w:p>
    <w:p>
      <w:pPr>
        <w:spacing w:before="120"/>
      </w:pPr>
      <w:r>
        <w:rPr>
          <w:b/>
          <w:sz w:val="22"/>
        </w:rPr>
        <w:t>Rule B6</w:t>
      </w:r>
      <w:r>
        <w:t xml:space="preserve"> — Investment Portfolio Definition (Consolidated Subsidiaries)</w:t>
      </w:r>
      <w:r>
        <w:t xml:space="preserve">   </w:t>
      </w:r>
      <w:r>
        <w:rPr>
          <w:b/>
          <w:color w:val="606060"/>
        </w:rPr>
        <w:t>[not_applicable]</w:t>
      </w:r>
    </w:p>
    <w:p>
      <w:pPr>
        <w:spacing w:before="0" w:after="0"/>
        <w:ind w:left="360"/>
      </w:pPr>
      <w:r>
        <w:rPr>
          <w:b/>
          <w:sz w:val="20"/>
        </w:rPr>
        <w:t xml:space="preserve">Analysis: </w:t>
      </w:r>
      <w:r>
        <w:rPr>
          <w:sz w:val="20"/>
        </w:rPr>
        <w:t>This rule is not applicable as no SII relies on the portfolio basis under para 21(ii) or 21(iii) without also qualifying under another limb. Xiaomi and Tencent have portfolios far exceeding the HK$15bn threshold, making the exclusion of consolidated subsidiaries not a determinative factor for their qualification.</w:t>
      </w:r>
    </w:p>
    <w:p>
      <w:pPr>
        <w:spacing w:before="120"/>
      </w:pPr>
      <w:r>
        <w:rPr>
          <w:b/>
          <w:sz w:val="22"/>
        </w:rPr>
        <w:t>Rule B7</w:t>
      </w:r>
      <w:r>
        <w:t xml:space="preserve"> — Parent Entity or Fund Manager Qualification</w:t>
      </w:r>
      <w:r>
        <w:t xml:space="preserve">   </w:t>
      </w:r>
      <w:r>
        <w:rPr>
          <w:b/>
          <w:color w:val="1A7A3C"/>
        </w:rPr>
        <w:t>[clear]</w:t>
      </w:r>
    </w:p>
    <w:p>
      <w:pPr>
        <w:spacing w:before="0" w:after="0"/>
        <w:ind w:left="360"/>
      </w:pPr>
      <w:r>
        <w:rPr>
          <w:b/>
          <w:sz w:val="20"/>
        </w:rPr>
        <w:t xml:space="preserve">Analysis: </w:t>
      </w:r>
      <w:r>
        <w:rPr>
          <w:sz w:val="20"/>
        </w:rPr>
        <w:t>Multiple SIIs (Northern Light, Oceanpine, SummitView, Xiaomi, Tencent, BOCGI, Future Industry Fund) rely on the qualification of their fund manager or parent entity under para 23. For each, the prospectus identifies the qualifying entity and discloses its AUM or portfolio size, which meets the relevant thresholds. For example, for Tencent SII, page 189 of tier2/pre_ipo_investment identifies the parent Tencent Holdings Limited and its portfolio size.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is a wholly owned subsidiary of Tencent Holdings Limited</w:t>
      </w:r>
    </w:p>
    <w:p>
      <w:pPr>
        <w:spacing w:before="120"/>
      </w:pPr>
      <w:r>
        <w:rPr>
          <w:b/>
          <w:sz w:val="22"/>
        </w:rPr>
        <w:t>Rule B8</w:t>
      </w:r>
      <w:r>
        <w:t xml:space="preserve"> — HKEX Case-by-Case Acceptance</w:t>
      </w:r>
      <w:r>
        <w:t xml:space="preserve">   </w:t>
      </w:r>
      <w:r>
        <w:rPr>
          <w:b/>
          <w:color w:val="606060"/>
        </w:rPr>
        <w:t>[not_applicable]</w:t>
      </w:r>
    </w:p>
    <w:p>
      <w:pPr>
        <w:spacing w:before="0" w:after="0"/>
        <w:ind w:left="360"/>
      </w:pPr>
      <w:r>
        <w:rPr>
          <w:b/>
          <w:sz w:val="20"/>
        </w:rPr>
        <w:t xml:space="preserve">Analysis: </w:t>
      </w:r>
      <w:r>
        <w:rPr>
          <w:sz w:val="20"/>
        </w:rPr>
        <w:t>The rule is not applicable as no SII is claimed to be sophisticated on a case-by-case basis under para 24. All SIIs are justified under the examples in para 21 or the parent/manager rule in para 23.</w:t>
      </w:r>
    </w:p>
    <w:p/>
    <w:p>
      <w:pPr>
        <w:pStyle w:val="Heading2"/>
      </w:pPr>
      <w:r>
        <w:t>Module C: SII Disclosure Requirements (Para 25)</w:t>
      </w:r>
    </w:p>
    <w:p>
      <w:pPr>
        <w:spacing w:before="120"/>
      </w:pPr>
      <w:r>
        <w:rPr>
          <w:b/>
          <w:sz w:val="22"/>
        </w:rPr>
        <w:t>Rule C1</w:t>
      </w:r>
      <w:r>
        <w:t xml:space="preserve"> — Size Disclosure and Basis of Determination</w:t>
      </w:r>
      <w:r>
        <w:t xml:space="preserve">   </w:t>
      </w:r>
      <w:r>
        <w:rPr>
          <w:b/>
          <w:color w:val="E67E00"/>
        </w:rPr>
        <w:t>[has_issues]</w:t>
      </w:r>
    </w:p>
    <w:p>
      <w:pPr>
        <w:spacing w:before="0" w:after="0"/>
        <w:ind w:left="360"/>
      </w:pPr>
      <w:r>
        <w:rPr>
          <w:b/>
          <w:sz w:val="20"/>
        </w:rPr>
        <w:t xml:space="preserve">Analysis: </w:t>
      </w:r>
      <w:r>
        <w:rPr>
          <w:sz w:val="20"/>
        </w:rPr>
        <w:t>The prospectus discloses the relevant size figures for each SII but uses hedging language like 'approximately' for several of them, which fails the language quality check. The basis of determination is generally not stated.</w:t>
      </w:r>
    </w:p>
    <w:p>
      <w:pPr>
        <w:ind w:left="360"/>
      </w:pPr>
      <w:r>
        <w:rPr>
          <w:b/>
          <w:sz w:val="20"/>
        </w:rPr>
        <w:t>Finding 1: Language [Critical / Insufficient]</w:t>
      </w:r>
    </w:p>
    <w:p>
      <w:pPr>
        <w:spacing w:before="0" w:after="0"/>
        <w:ind w:left="360"/>
      </w:pPr>
      <w:r>
        <w:rPr>
          <w:b/>
          <w:sz w:val="20"/>
        </w:rPr>
        <w:t xml:space="preserve">Explanation: </w:t>
      </w:r>
      <w:r>
        <w:rPr>
          <w:sz w:val="20"/>
        </w:rPr>
        <w:t>Rule C1 requires disclosure of specific monetary amounts. The prospectus uses vague formulations such as 'approximately HK$17.69 billion' (Northern Light, page 186), 'approximately HK$5.9 billion' (Oceanpine, page 187), and 'approximately RMB74.5 billion' (Xiaomi, page 189). This language obscures whether the thresholds are precisely met.</w:t>
      </w:r>
    </w:p>
    <w:p>
      <w:pPr>
        <w:spacing w:before="0" w:after="0"/>
        <w:ind w:left="360"/>
      </w:pPr>
      <w:r>
        <w:rPr>
          <w:b/>
          <w:sz w:val="20"/>
        </w:rPr>
        <w:t xml:space="preserve">Recommendation: </w:t>
      </w:r>
      <w:r>
        <w:rPr>
          <w:sz w:val="20"/>
        </w:rPr>
        <w:t>Remove all instances of 'approximately' when stating AUM or portfolio size figures for all SIIs and provide exact figures.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was approximately HK$17.69 billion as of June 30, 2016(1)</w:t>
      </w:r>
    </w:p>
    <w:p>
      <w:pPr>
        <w:ind w:left="360"/>
      </w:pPr>
      <w:r>
        <w:rPr>
          <w:b/>
          <w:sz w:val="20"/>
        </w:rPr>
        <w:t>Finding 2: Disclosure [Critical / Absent]</w:t>
      </w:r>
    </w:p>
    <w:p>
      <w:pPr>
        <w:spacing w:before="0" w:after="0"/>
        <w:ind w:left="360"/>
      </w:pPr>
      <w:r>
        <w:rPr>
          <w:b/>
          <w:sz w:val="20"/>
        </w:rPr>
        <w:t xml:space="preserve">Explanation: </w:t>
      </w:r>
      <w:r>
        <w:rPr>
          <w:sz w:val="20"/>
        </w:rPr>
        <w:t>Rule C1 requires disclosure of the basis for determination of the AUM, fund size, or portfolio value (e.g., audited NAV, fair value basis, accounting standard). The prospectus discloses the monetary amounts but fails to state the basis of determination for any of the SIIs.</w:t>
      </w:r>
    </w:p>
    <w:p>
      <w:pPr>
        <w:spacing w:before="0" w:after="0"/>
        <w:ind w:left="360"/>
      </w:pPr>
      <w:r>
        <w:rPr>
          <w:b/>
          <w:sz w:val="20"/>
        </w:rPr>
        <w:t xml:space="preserve">Recommendation: </w:t>
      </w:r>
      <w:r>
        <w:rPr>
          <w:sz w:val="20"/>
        </w:rPr>
        <w:t>For each SII, disclose the basis for determination of the stated AUM, fund size, or investment portfolio value.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120"/>
      </w:pPr>
      <w:r>
        <w:rPr>
          <w:b/>
          <w:sz w:val="22"/>
        </w:rPr>
        <w:t>Rule C2</w:t>
      </w:r>
      <w:r>
        <w:t xml:space="preserve"> — Reference Date (Definitive Agreement)</w:t>
      </w:r>
      <w:r>
        <w:t xml:space="preserve">   </w:t>
      </w:r>
      <w:r>
        <w:rPr>
          <w:b/>
          <w:color w:val="E67E00"/>
        </w:rPr>
        <w:t>[has_issues]</w:t>
      </w:r>
    </w:p>
    <w:p>
      <w:pPr>
        <w:spacing w:before="0" w:after="0"/>
        <w:ind w:left="360"/>
      </w:pPr>
      <w:r>
        <w:rPr>
          <w:b/>
          <w:sz w:val="20"/>
        </w:rPr>
        <w:t xml:space="preserve">Analysis: </w:t>
      </w:r>
      <w:r>
        <w:rPr>
          <w:sz w:val="20"/>
        </w:rPr>
        <w:t>The prospectus fails to provide the specific reference date for the first set of AUM/portfolio figures for each SII, as required by para 25(i). It also fails to disclose the definitive agreement dates. Instead, a generic footnote is used, which is a critical disclosure failure.</w:t>
      </w:r>
    </w:p>
    <w:p>
      <w:pPr>
        <w:ind w:left="360"/>
      </w:pPr>
      <w:r>
        <w:rPr>
          <w:b/>
          <w:sz w:val="20"/>
        </w:rPr>
        <w:t>Finding 1: Disclosure [Critical / Absent]</w:t>
      </w:r>
    </w:p>
    <w:p>
      <w:pPr>
        <w:spacing w:before="0" w:after="0"/>
        <w:ind w:left="360"/>
      </w:pPr>
      <w:r>
        <w:rPr>
          <w:b/>
          <w:sz w:val="20"/>
        </w:rPr>
        <w:t xml:space="preserve">Explanation: </w:t>
      </w:r>
      <w:r>
        <w:rPr>
          <w:sz w:val="20"/>
        </w:rPr>
        <w:t>Rule C2 requires disclosure of a specific reference date for each SII's sophistication figures, which must be no more than 6 months before the definitive agreement date. Footnote (1) on page 191 of tier2/pre_ipo_investment provides a generic statement ('being a date not more than six months prior to the date on which the relevant investor signed the relevant definitive agreement') instead of disclosing the specific reference date for each of the nine SIIs. This makes compliance with the 6-month rule unverifiable.</w:t>
      </w:r>
    </w:p>
    <w:p>
      <w:pPr>
        <w:spacing w:before="0" w:after="0"/>
        <w:ind w:left="360"/>
      </w:pPr>
      <w:r>
        <w:rPr>
          <w:b/>
          <w:sz w:val="20"/>
        </w:rPr>
        <w:t xml:space="preserve">Recommendation: </w:t>
      </w:r>
      <w:r>
        <w:rPr>
          <w:sz w:val="20"/>
        </w:rPr>
        <w:t>For each SII, disclose the specific calendar date used as the reference date for the first set of AUM/portfolio figures and the corresponding definitive agreement date to allow verification of the 6-month requirement.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not more than six months prior to the date on</w:t>
      </w:r>
    </w:p>
    <w:p>
      <w:pPr>
        <w:spacing w:before="120"/>
      </w:pPr>
      <w:r>
        <w:rPr>
          <w:b/>
          <w:sz w:val="22"/>
        </w:rPr>
        <w:t>Rule C3</w:t>
      </w:r>
      <w:r>
        <w:t xml:space="preserve"> — Reference Date (Listing Application)</w:t>
      </w:r>
      <w:r>
        <w:t xml:space="preserve">   </w:t>
      </w:r>
      <w:r>
        <w:rPr>
          <w:b/>
          <w:color w:val="E67E00"/>
        </w:rPr>
        <w:t>[has_issues]</w:t>
      </w:r>
    </w:p>
    <w:p>
      <w:pPr>
        <w:spacing w:before="0" w:after="0"/>
        <w:ind w:left="360"/>
      </w:pPr>
      <w:r>
        <w:rPr>
          <w:b/>
          <w:sz w:val="20"/>
        </w:rPr>
        <w:t xml:space="preserve">Analysis: </w:t>
      </w:r>
      <w:r>
        <w:rPr>
          <w:sz w:val="20"/>
        </w:rPr>
        <w:t>The prospectus provides a second set of figures with specific reference dates (e.g., Sep 30, 2023, Dec 31, 2023). However, the first listing application date is disclosed as June 29, 2023. The rule requires the reference date to be no more than 6 months *before* the application date. The disclosed dates are *after* the application date, which fails the threshold compliance check.</w:t>
      </w:r>
    </w:p>
    <w:p>
      <w:pPr>
        <w:ind w:left="360"/>
      </w:pPr>
      <w:r>
        <w:rPr>
          <w:b/>
          <w:sz w:val="20"/>
        </w:rPr>
        <w:t>Finding 1: Threshold [Critical / Insufficient]</w:t>
      </w:r>
    </w:p>
    <w:p>
      <w:pPr>
        <w:spacing w:before="0" w:after="0"/>
        <w:ind w:left="360"/>
      </w:pPr>
      <w:r>
        <w:rPr>
          <w:b/>
          <w:sz w:val="20"/>
        </w:rPr>
        <w:t xml:space="preserve">Explanation: </w:t>
      </w:r>
      <w:r>
        <w:rPr>
          <w:sz w:val="20"/>
        </w:rPr>
        <w:t>Rule C3 requires the second set of sophistication figures to be as of a reference date no more than 6 months *before* the listing application date. The first listing application date is stated as June 29, 2023 (tier2/pre_ipo_investment, page 186). The second reference dates provided for SIIs are September 30, 2023 or December 31, 2023 (pages 186-191), which are *after* the application date, not before. This fails to comply with the timing requirement of para 25(ii).</w:t>
      </w:r>
    </w:p>
    <w:p>
      <w:pPr>
        <w:spacing w:before="0" w:after="0"/>
        <w:ind w:left="360"/>
      </w:pPr>
      <w:r>
        <w:rPr>
          <w:b/>
          <w:sz w:val="20"/>
        </w:rPr>
        <w:t xml:space="preserve">Recommendation: </w:t>
      </w:r>
      <w:r>
        <w:rPr>
          <w:sz w:val="20"/>
        </w:rPr>
        <w:t>Provide a second set of sophistication figures for each SII as of a reference date that is no more than 6 months *prior* to the listing application date of June 29, 2023.</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approximately HK$31.19 billion as of September 30, 2023</w:t>
      </w:r>
    </w:p>
    <w:p>
      <w:pPr>
        <w:spacing w:before="120"/>
      </w:pPr>
      <w:r>
        <w:rPr>
          <w:b/>
          <w:sz w:val="22"/>
        </w:rPr>
        <w:t>Rule C4</w:t>
      </w:r>
      <w:r>
        <w:t xml:space="preserve"> — Confidentiality Carve-Out</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state that any SII has invoked the confidentiality carve-out under the para 25 proviso.</w:t>
      </w:r>
    </w:p>
    <w:p/>
    <w:p>
      <w:pPr>
        <w:pStyle w:val="Heading2"/>
      </w:pPr>
      <w:r>
        <w:t>Module D: Pathfinder SII Requirements (Para 26(i))</w:t>
      </w:r>
    </w:p>
    <w:p>
      <w:pPr>
        <w:spacing w:before="120"/>
      </w:pPr>
      <w:r>
        <w:rPr>
          <w:b/>
          <w:sz w:val="22"/>
        </w:rPr>
        <w:t>Rule D1a</w:t>
      </w:r>
      <w:r>
        <w:t xml:space="preserve"> — Pathfinder SII Count</w:t>
      </w:r>
      <w:r>
        <w:t xml:space="preserve">   </w:t>
      </w:r>
      <w:r>
        <w:rPr>
          <w:b/>
          <w:color w:val="1A7A3C"/>
        </w:rPr>
        <w:t>[clear]</w:t>
      </w:r>
    </w:p>
    <w:p>
      <w:pPr>
        <w:spacing w:before="0" w:after="0"/>
        <w:ind w:left="360"/>
      </w:pPr>
      <w:r>
        <w:rPr>
          <w:b/>
          <w:sz w:val="20"/>
        </w:rPr>
        <w:t xml:space="preserve">Analysis: </w:t>
      </w:r>
      <w:r>
        <w:rPr>
          <w:sz w:val="20"/>
        </w:rPr>
        <w:t>The prospectus identifies two Pathfinder SIIs on page 195 of tier2/pre_ipo_investment: the Northern Light SIIs and the Oceanpine SIIs. This count of 2 is within the required range of 2 to 5 (PARAM_D_COUNT_MIN to PARAM_D_COUNT_MAX).</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investments from two Pathfinder SIIs, namely the Northern Light</w:t>
      </w:r>
    </w:p>
    <w:p>
      <w:pPr>
        <w:spacing w:before="120"/>
      </w:pPr>
      <w:r>
        <w:rPr>
          <w:b/>
          <w:sz w:val="22"/>
        </w:rPr>
        <w:t>Rule D1b</w:t>
      </w:r>
      <w:r>
        <w:t xml:space="preserve"> — Pathfinder SII Investment Timing</w:t>
      </w:r>
      <w:r>
        <w:t xml:space="preserve">   </w:t>
      </w:r>
      <w:r>
        <w:rPr>
          <w:b/>
          <w:color w:val="E67E00"/>
        </w:rPr>
        <w:t>[has_issues]</w:t>
      </w:r>
    </w:p>
    <w:p>
      <w:pPr>
        <w:spacing w:before="0" w:after="0"/>
        <w:ind w:left="360"/>
      </w:pPr>
      <w:r>
        <w:rPr>
          <w:b/>
          <w:sz w:val="20"/>
        </w:rPr>
        <w:t xml:space="preserve">Analysis: </w:t>
      </w:r>
      <w:r>
        <w:rPr>
          <w:sz w:val="20"/>
        </w:rPr>
        <w:t>The prospectus states that both Pathfinder SIIs invested more than 12 months before the first listing application. However, it does not specify that the investment dates refer to the date of irrevocable settlement, as required by para 30 of the Guide. This is a language quality issue.</w:t>
      </w:r>
    </w:p>
    <w:p>
      <w:pPr>
        <w:ind w:left="360"/>
      </w:pPr>
      <w:r>
        <w:rPr>
          <w:b/>
          <w:sz w:val="20"/>
        </w:rPr>
        <w:t>Finding 1: Language [Critical / Insufficient]</w:t>
      </w:r>
    </w:p>
    <w:p>
      <w:pPr>
        <w:spacing w:before="0" w:after="0"/>
        <w:ind w:left="360"/>
      </w:pPr>
      <w:r>
        <w:rPr>
          <w:b/>
          <w:sz w:val="20"/>
        </w:rPr>
        <w:t xml:space="preserve">Explanation: </w:t>
      </w:r>
      <w:r>
        <w:rPr>
          <w:sz w:val="20"/>
        </w:rPr>
        <w:t>Rule D1b, read with Rule G3 (para 30), requires the investment date to be the date of irrevocable settlement. The prospectus states investment timing in general terms (e.g., 'first invested in... September 2016' for Northern Light on page 176 of tier2/history_of_group) but does not specify that this date corresponds to irrevocable settlement. This omission prevents precise verification of the 12-month holding period requirement.</w:t>
      </w:r>
    </w:p>
    <w:p>
      <w:pPr>
        <w:spacing w:before="0" w:after="0"/>
        <w:ind w:left="360"/>
      </w:pPr>
      <w:r>
        <w:rPr>
          <w:b/>
          <w:sz w:val="20"/>
        </w:rPr>
        <w:t xml:space="preserve">Recommendation: </w:t>
      </w:r>
      <w:r>
        <w:rPr>
          <w:sz w:val="20"/>
        </w:rPr>
        <w:t>For each Pathfinder SII, disclose the specific investment date by reference to the date of irrevocable settlement.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invested in the Group for at least 12 months</w:t>
      </w:r>
    </w:p>
    <w:p>
      <w:pPr>
        <w:spacing w:before="120"/>
      </w:pPr>
      <w:r>
        <w:rPr>
          <w:b/>
          <w:sz w:val="22"/>
        </w:rPr>
        <w:t>Rule D2</w:t>
      </w:r>
      <w:r>
        <w:t xml:space="preserve"> — Pathfinder SII Aggregate Threshold</w:t>
      </w:r>
      <w:r>
        <w:t xml:space="preserve">   </w:t>
      </w:r>
      <w:r>
        <w:rPr>
          <w:b/>
          <w:color w:val="1A7A3C"/>
        </w:rPr>
        <w:t>[clear]</w:t>
      </w:r>
    </w:p>
    <w:p>
      <w:pPr>
        <w:spacing w:before="0" w:after="0"/>
        <w:ind w:left="360"/>
      </w:pPr>
      <w:r>
        <w:rPr>
          <w:b/>
          <w:sz w:val="20"/>
        </w:rPr>
        <w:t xml:space="preserve">Analysis: </w:t>
      </w:r>
      <w:r>
        <w:rPr>
          <w:sz w:val="20"/>
        </w:rPr>
        <w:t>The prospectus discloses on page 187 of tier2/pre_ipo_investment that the Pathfinder SIIs in aggregate held approximately 17.45% at the listing application date (June 29, 2023) and 19.05% at the start of the 12-month pre-application period (June 29, 2022). Both figures exceed the 10% aggregate shareholding threshold (PARAM_D2_AGG_PCT).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Our Pathfinder SIIs, in aggregate, held approximately 17.45%</w:t>
      </w:r>
    </w:p>
    <w:p>
      <w:pPr>
        <w:spacing w:before="120"/>
      </w:pPr>
      <w:r>
        <w:rPr>
          <w:b/>
          <w:sz w:val="22"/>
        </w:rPr>
        <w:t>Rule D3</w:t>
      </w:r>
      <w:r>
        <w:t xml:space="preserve"> — Individual Pathfinder SII Threshold</w:t>
      </w:r>
      <w:r>
        <w:t xml:space="preserve">   </w:t>
      </w:r>
      <w:r>
        <w:rPr>
          <w:b/>
          <w:color w:val="1A7A3C"/>
        </w:rPr>
        <w:t>[clear]</w:t>
      </w:r>
    </w:p>
    <w:p>
      <w:pPr>
        <w:spacing w:before="0" w:after="0"/>
        <w:ind w:left="360"/>
      </w:pPr>
      <w:r>
        <w:rPr>
          <w:b/>
          <w:sz w:val="20"/>
        </w:rPr>
        <w:t xml:space="preserve">Analysis: </w:t>
      </w:r>
      <w:r>
        <w:rPr>
          <w:sz w:val="20"/>
        </w:rPr>
        <w:t>The prospectus discloses on pages 186-187 of tier2/pre_ipo_investment that Northern Light SIIs held 11.48% and Oceanpine SIIs held 5.97% at the listing application date, and held 12.53% and 6.52% respectively at the start of the 12-month pre-application period. Both Pathfinder SIIs individually exceed the 3% threshold (PARAM_D3_IND_PCT) at both points in time.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each of the Northern Light SIIs and the Oceanpine</w:t>
      </w:r>
    </w:p>
    <w:p/>
    <w:p>
      <w:pPr>
        <w:pStyle w:val="Heading2"/>
      </w:pPr>
      <w:r>
        <w:t>Module E: Aggregate SII Investment Benchmark (Para 26(ii))</w:t>
      </w:r>
    </w:p>
    <w:p>
      <w:pPr>
        <w:spacing w:before="120"/>
      </w:pPr>
      <w:r>
        <w:rPr>
          <w:b/>
          <w:sz w:val="22"/>
        </w:rPr>
        <w:t>Rule E1</w:t>
      </w:r>
      <w:r>
        <w:t xml:space="preserve"> — Aggregate SII Shareholding Benchmark</w:t>
      </w:r>
      <w:r>
        <w:t xml:space="preserve">   </w:t>
      </w:r>
      <w:r>
        <w:rPr>
          <w:b/>
          <w:color w:val="1A7A3C"/>
        </w:rPr>
        <w:t>[clear]</w:t>
      </w:r>
    </w:p>
    <w:p>
      <w:pPr>
        <w:spacing w:before="0" w:after="0"/>
        <w:ind w:left="360"/>
      </w:pPr>
      <w:r>
        <w:rPr>
          <w:b/>
          <w:sz w:val="20"/>
        </w:rPr>
        <w:t xml:space="preserve">Analysis: </w:t>
      </w:r>
      <w:r>
        <w:rPr>
          <w:sz w:val="20"/>
        </w:rPr>
        <w:t>Based on the company's classification as a Commercial Company with an expected market cap over HK$15bn, the applicable aggregate SII threshold is 15%. Page 195 of tier2/pre_ipo_investment discloses that all SIIs held approximately 36.46% as of the Latest Practicable Date and will hold 'no less than 15%' at listing, satisfying the benchmark under para 26(ii).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will hold, in aggregate, no less than 15% in</w:t>
      </w:r>
    </w:p>
    <w:p>
      <w:pPr>
        <w:spacing w:before="120"/>
      </w:pPr>
      <w:r>
        <w:rPr>
          <w:b/>
          <w:sz w:val="22"/>
        </w:rPr>
        <w:t>Rule E2</w:t>
      </w:r>
      <w:r>
        <w:t xml:space="preserve"> — Threshold Tier Verification</w:t>
      </w:r>
      <w:r>
        <w:t xml:space="preserve">   </w:t>
      </w:r>
      <w:r>
        <w:rPr>
          <w:b/>
          <w:color w:val="1A7A3C"/>
        </w:rPr>
        <w:t>[clear]</w:t>
      </w:r>
    </w:p>
    <w:p>
      <w:pPr>
        <w:spacing w:before="0" w:after="0"/>
        <w:ind w:left="360"/>
      </w:pPr>
      <w:r>
        <w:rPr>
          <w:b/>
          <w:sz w:val="20"/>
        </w:rPr>
        <w:t xml:space="preserve">Analysis: </w:t>
      </w:r>
      <w:r>
        <w:rPr>
          <w:sz w:val="20"/>
        </w:rPr>
        <w:t>The company is a Commercial Company (P2) and its expected market cap is in the HK$15-30bn tier (P3). The prospectus correctly identifies and applies the 15% threshold (PARAM_E_COMM_MID) on page 195 of tier2/pre_ipo_investment, consistent with the para 26(ii) table.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w:t>
      </w:r>
    </w:p>
    <w:p/>
    <w:p>
      <w:pPr>
        <w:pStyle w:val="Heading2"/>
      </w:pPr>
      <w:r>
        <w:t>Module F: Convertible Securities (Paras 27–28)</w:t>
      </w:r>
    </w:p>
    <w:p>
      <w:pPr>
        <w:spacing w:before="120"/>
      </w:pPr>
      <w:r>
        <w:rPr>
          <w:b/>
          <w:sz w:val="22"/>
        </w:rPr>
        <w:t>Rule F1</w:t>
      </w:r>
      <w:r>
        <w:t xml:space="preserve"> — Conversion Requirement</w:t>
      </w:r>
      <w:r>
        <w:t xml:space="preserve">   </w:t>
      </w:r>
      <w:r>
        <w:rPr>
          <w:b/>
          <w:color w:val="1A7A3C"/>
        </w:rPr>
        <w:t>[clear]</w:t>
      </w:r>
    </w:p>
    <w:p>
      <w:pPr>
        <w:spacing w:before="0" w:after="0"/>
        <w:ind w:left="360"/>
      </w:pPr>
      <w:r>
        <w:rPr>
          <w:b/>
          <w:sz w:val="20"/>
        </w:rPr>
        <w:t xml:space="preserve">Analysis: </w:t>
      </w:r>
      <w:r>
        <w:rPr>
          <w:sz w:val="20"/>
        </w:rPr>
        <w:t>The prospectus states on page 185 of tier2/pre_ipo_investment that 'All of the Preferred Shares will be converted into Shares on a one-to-one basis immediately upon completion of the Global Offering'. This confirms that the convertible securities held by SIIs will be converted at or before listing, satisfying para 27.</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185</w:t>
      </w:r>
    </w:p>
    <w:p>
      <w:pPr>
        <w:spacing w:before="0" w:after="0"/>
        <w:ind w:left="360"/>
      </w:pPr>
      <w:r>
        <w:rPr>
          <w:b/>
          <w:sz w:val="20"/>
        </w:rPr>
        <w:t xml:space="preserve">Anchor: </w:t>
      </w:r>
      <w:r>
        <w:rPr>
          <w:sz w:val="20"/>
        </w:rPr>
        <w:t>All of the Preferred Shares will be converted into</w:t>
      </w:r>
    </w:p>
    <w:p>
      <w:pPr>
        <w:spacing w:before="120"/>
      </w:pPr>
      <w:r>
        <w:rPr>
          <w:b/>
          <w:sz w:val="22"/>
        </w:rPr>
        <w:t>Rule F2</w:t>
      </w:r>
      <w:r>
        <w:t xml:space="preserve"> — Convertible Securities Counting Basis</w:t>
      </w:r>
      <w:r>
        <w:t xml:space="preserve">   </w:t>
      </w:r>
      <w:r>
        <w:rPr>
          <w:b/>
          <w:color w:val="E67E00"/>
        </w:rPr>
        <w:t>[has_issues]</w:t>
      </w:r>
    </w:p>
    <w:p>
      <w:pPr>
        <w:spacing w:before="0" w:after="0"/>
        <w:ind w:left="360"/>
      </w:pPr>
      <w:r>
        <w:rPr>
          <w:b/>
          <w:sz w:val="20"/>
        </w:rPr>
        <w:t xml:space="preserve">Analysis: </w:t>
      </w:r>
      <w:r>
        <w:rPr>
          <w:sz w:val="20"/>
        </w:rPr>
        <w:t>The prospectus discloses the number of preferred shares held by each SII (which convert 1-for-1 into ordinary shares) but fails to disclose the corresponding investment amount for each SII's holding of these convertible securities, as required by para 28.</w:t>
      </w:r>
    </w:p>
    <w:p>
      <w:pPr>
        <w:ind w:left="360"/>
      </w:pPr>
      <w:r>
        <w:rPr>
          <w:b/>
          <w:sz w:val="20"/>
        </w:rPr>
        <w:t>Finding 1: Disclosure [High / Absent]</w:t>
      </w:r>
    </w:p>
    <w:p>
      <w:pPr>
        <w:spacing w:before="0" w:after="0"/>
        <w:ind w:left="360"/>
      </w:pPr>
      <w:r>
        <w:rPr>
          <w:b/>
          <w:sz w:val="20"/>
        </w:rPr>
        <w:t xml:space="preserve">Explanation: </w:t>
      </w:r>
      <w:r>
        <w:rPr>
          <w:sz w:val="20"/>
        </w:rPr>
        <w:t>Rule F2 requires disclosure of the number of shares to be converted and the corresponding investment amount for each relevant SII. While the number of preferred shares can be derived from the cap table (tier2/pre_ipo_investment, pages 198-204), the prospectus does not disclose the specific investment amount made by each individual SII for their holdings of these convertible securities. The table on page 181 provides aggregate investment amounts per funding round, not per SII.</w:t>
      </w:r>
    </w:p>
    <w:p>
      <w:pPr>
        <w:spacing w:before="0" w:after="0"/>
        <w:ind w:left="360"/>
      </w:pPr>
      <w:r>
        <w:rPr>
          <w:b/>
          <w:sz w:val="20"/>
        </w:rPr>
        <w:t xml:space="preserve">Recommendation: </w:t>
      </w:r>
      <w:r>
        <w:rPr>
          <w:sz w:val="20"/>
        </w:rPr>
        <w:t>For each SII holding Preferred Shares, disclose the corresponding investment amount for those shares.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181</w:t>
      </w:r>
    </w:p>
    <w:p/>
    <w:p>
      <w:pPr>
        <w:pStyle w:val="Heading2"/>
      </w:pPr>
      <w:r>
        <w:t>Module G: Shareholding Fluctuations (Paras 29–31)</w:t>
      </w:r>
    </w:p>
    <w:p>
      <w:pPr>
        <w:spacing w:before="120"/>
      </w:pPr>
      <w:r>
        <w:rPr>
          <w:b/>
          <w:sz w:val="22"/>
        </w:rPr>
        <w:t>Rule G1</w:t>
      </w:r>
      <w:r>
        <w:t xml:space="preserve"> — Temporary Dilution Without Top-Up</w:t>
      </w:r>
      <w:r>
        <w:t xml:space="preserve">   </w:t>
      </w:r>
      <w:r>
        <w:rPr>
          <w:b/>
          <w:color w:val="E67E00"/>
        </w:rPr>
        <w:t>[has_issues]</w:t>
      </w:r>
    </w:p>
    <w:p>
      <w:pPr>
        <w:spacing w:before="0" w:after="0"/>
        <w:ind w:left="360"/>
      </w:pPr>
      <w:r>
        <w:rPr>
          <w:b/>
          <w:sz w:val="20"/>
        </w:rPr>
        <w:t xml:space="preserve">Analysis: </w:t>
      </w:r>
      <w:r>
        <w:rPr>
          <w:sz w:val="20"/>
        </w:rPr>
        <w:t>The prospectus discloses Pathfinder SII holdings at the start and end of the 12-month pre-application period, showing a decrease (dilution). However, it does not disclose the 12-month average holding or confirm that this average also meets the threshold, which is a required disclosure under para 29(i) when relying on this provision.</w:t>
      </w:r>
    </w:p>
    <w:p>
      <w:pPr>
        <w:ind w:left="360"/>
      </w:pPr>
      <w:r>
        <w:rPr>
          <w:b/>
          <w:sz w:val="20"/>
        </w:rPr>
        <w:t>Finding 1: Disclosure [High / Absent]</w:t>
      </w:r>
    </w:p>
    <w:p>
      <w:pPr>
        <w:spacing w:before="0" w:after="0"/>
        <w:ind w:left="360"/>
      </w:pPr>
      <w:r>
        <w:rPr>
          <w:b/>
          <w:sz w:val="20"/>
        </w:rPr>
        <w:t xml:space="preserve">Explanation: </w:t>
      </w:r>
      <w:r>
        <w:rPr>
          <w:sz w:val="20"/>
        </w:rPr>
        <w:t>Rule G1 applies where a Pathfinder SII's holding has been diluted. The prospectus shows dilution for both Pathfinders (tier2/pre_ipo_investment, pages 186-187). Para 29(i) allows this if the holding meets the threshold at the application date AND on a 12-month average basis. The prospectus confirms the holding at the application date but fails to disclose the 12-month average holding for each Pathfinder SII and in aggregate, or confirm that this average meets the applicable thresholds.</w:t>
      </w:r>
    </w:p>
    <w:p>
      <w:pPr>
        <w:spacing w:before="0" w:after="0"/>
        <w:ind w:left="360"/>
      </w:pPr>
      <w:r>
        <w:rPr>
          <w:b/>
          <w:sz w:val="20"/>
        </w:rPr>
        <w:t xml:space="preserve">Recommendation: </w:t>
      </w:r>
      <w:r>
        <w:rPr>
          <w:sz w:val="20"/>
        </w:rPr>
        <w:t>Disclose the 12-month average shareholding for each Pathfinder SII and for the Pathfinders in aggregate, and confirm that these average holdings meet the individual (3%) and aggregate (10%) thresholds respectively.</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held approximately 17.45% and 19.05% of the total</w:t>
      </w:r>
    </w:p>
    <w:p>
      <w:pPr>
        <w:spacing w:before="120"/>
      </w:pPr>
      <w:r>
        <w:rPr>
          <w:b/>
          <w:sz w:val="22"/>
        </w:rPr>
        <w:t>Rule G2</w:t>
      </w:r>
      <w:r>
        <w:t xml:space="preserve"> — Top-Up Mechanism</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disclose any reliance on a top-up mechanism to cure dilution for any Pathfinder SII.</w:t>
      </w:r>
    </w:p>
    <w:p>
      <w:pPr>
        <w:spacing w:before="120"/>
      </w:pPr>
      <w:r>
        <w:rPr>
          <w:b/>
          <w:sz w:val="22"/>
        </w:rPr>
        <w:t>Rule G3</w:t>
      </w:r>
      <w:r>
        <w:t xml:space="preserve"> — Investment Date Definition</w:t>
      </w:r>
      <w:r>
        <w:t xml:space="preserve">   </w:t>
      </w:r>
      <w:r>
        <w:rPr>
          <w:b/>
          <w:color w:val="E67E00"/>
        </w:rPr>
        <w:t>[has_issues]</w:t>
      </w:r>
    </w:p>
    <w:p>
      <w:pPr>
        <w:spacing w:before="0" w:after="0"/>
        <w:ind w:left="360"/>
      </w:pPr>
      <w:r>
        <w:rPr>
          <w:b/>
          <w:sz w:val="20"/>
        </w:rPr>
        <w:t xml:space="preserve">Analysis: </w:t>
      </w:r>
      <w:r>
        <w:rPr>
          <w:sz w:val="20"/>
        </w:rPr>
        <w:t>The prospectus provides investment dates for Pathfinder SIIs in the corporate timeline but does not explicitly state that these dates refer to the date of 'irrevocable settlement' as required by para 30 of the Guide. This is a language quality issue that affects the verifiability of the 12-month holding period.</w:t>
      </w:r>
    </w:p>
    <w:p>
      <w:pPr>
        <w:ind w:left="360"/>
      </w:pPr>
      <w:r>
        <w:rPr>
          <w:b/>
          <w:sz w:val="20"/>
        </w:rPr>
        <w:t>Finding 1: Language [Medium / Insufficient]</w:t>
      </w:r>
    </w:p>
    <w:p>
      <w:pPr>
        <w:spacing w:before="0" w:after="0"/>
        <w:ind w:left="360"/>
      </w:pPr>
      <w:r>
        <w:rPr>
          <w:b/>
          <w:sz w:val="20"/>
        </w:rPr>
        <w:t xml:space="preserve">Explanation: </w:t>
      </w:r>
      <w:r>
        <w:rPr>
          <w:sz w:val="20"/>
        </w:rPr>
        <w:t>Rule G3 (para 30) defines the investment date as the date of irrevocable settlement. The prospectus, in tier2/history_of_group on page 176, states that Pathfinder SIIs 'first invested' in September 2016 and September 2020. This language does not specify that the date refers to irrevocable settlement, which is a specific requirement for the timing calculation.</w:t>
      </w:r>
    </w:p>
    <w:p>
      <w:pPr>
        <w:spacing w:before="0" w:after="0"/>
        <w:ind w:left="360"/>
      </w:pPr>
      <w:r>
        <w:rPr>
          <w:b/>
          <w:sz w:val="20"/>
        </w:rPr>
        <w:t xml:space="preserve">Recommendation: </w:t>
      </w:r>
      <w:r>
        <w:rPr>
          <w:sz w:val="20"/>
        </w:rPr>
        <w:t>Clarify that the investment dates disclosed for the Pathfinder SIIs refer to the date of irrevocable settlement.</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first invested in our Company.</w:t>
      </w:r>
    </w:p>
    <w:p>
      <w:pPr>
        <w:spacing w:before="120"/>
      </w:pPr>
      <w:r>
        <w:rPr>
          <w:b/>
          <w:sz w:val="22"/>
        </w:rPr>
        <w:t>Rule G4</w:t>
      </w:r>
      <w:r>
        <w:t xml:space="preserve"> — Aggregation of Related Entities</w:t>
      </w:r>
      <w:r>
        <w:t xml:space="preserve">   </w:t>
      </w:r>
      <w:r>
        <w:rPr>
          <w:b/>
          <w:color w:val="1A7A3C"/>
        </w:rPr>
        <w:t>[clear]</w:t>
      </w:r>
    </w:p>
    <w:p>
      <w:pPr>
        <w:spacing w:before="0" w:after="0"/>
        <w:ind w:left="360"/>
      </w:pPr>
      <w:r>
        <w:rPr>
          <w:b/>
          <w:sz w:val="20"/>
        </w:rPr>
        <w:t xml:space="preserve">Analysis: </w:t>
      </w:r>
      <w:r>
        <w:rPr>
          <w:sz w:val="20"/>
        </w:rPr>
        <w:t>The prospectus discloses that the Northern Light SIIs (three funds) and Oceanpine SIIs (two entities) are aggregated to form single Pathfinder SIIs. Pages 186-187 of tier2/pre_ipo_investment provide a reasonable justification under para 31, explaining that the entities are managed by the same fund manager who makes unified investment decisions.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should be aggregated as one Pathfinder SII pursuant to</w:t>
      </w:r>
    </w:p>
    <w:p/>
    <w:p>
      <w:pPr>
        <w:pStyle w:val="Heading2"/>
      </w:pPr>
      <w:r>
        <w:t>Module H: Aggregate Benchmark Mechanics (Para 32)</w:t>
      </w:r>
    </w:p>
    <w:p>
      <w:pPr>
        <w:spacing w:before="120"/>
      </w:pPr>
      <w:r>
        <w:rPr>
          <w:b/>
          <w:sz w:val="22"/>
        </w:rPr>
        <w:t>Rule H1</w:t>
      </w:r>
      <w:r>
        <w:t xml:space="preserve"> — Pre-Listing and At-Listing SII Investments Combined</w:t>
      </w:r>
      <w:r>
        <w:t xml:space="preserve">   </w:t>
      </w:r>
      <w:r>
        <w:rPr>
          <w:b/>
          <w:color w:val="606060"/>
        </w:rPr>
        <w:t>[not_applicable]</w:t>
      </w:r>
    </w:p>
    <w:p>
      <w:pPr>
        <w:spacing w:before="0" w:after="0"/>
        <w:ind w:left="360"/>
      </w:pPr>
      <w:r>
        <w:rPr>
          <w:b/>
          <w:sz w:val="20"/>
        </w:rPr>
        <w:t xml:space="preserve">Analysis: </w:t>
      </w:r>
      <w:r>
        <w:rPr>
          <w:sz w:val="20"/>
        </w:rPr>
        <w:t>This rule is not applicable as there is no disclosure indicating that any SII will receive an allocation of shares at listing in addition to their pre-listing investments. The cornerstone investors listed are not identified as SIIs.</w:t>
      </w:r>
    </w:p>
    <w:p>
      <w:pPr>
        <w:spacing w:before="0" w:after="0"/>
        <w:ind w:left="360"/>
      </w:pPr>
      <w:r>
        <w:rPr>
          <w:b/>
          <w:sz w:val="20"/>
        </w:rPr>
        <w:t xml:space="preserve">Source: </w:t>
      </w:r>
      <w:r>
        <w:rPr>
          <w:sz w:val="20"/>
        </w:rPr>
        <w:t>tier1/cornerstone_investors</w:t>
      </w:r>
    </w:p>
    <w:p>
      <w:pPr>
        <w:spacing w:before="0" w:after="0"/>
        <w:ind w:left="360"/>
      </w:pPr>
      <w:r>
        <w:rPr>
          <w:b/>
          <w:sz w:val="20"/>
        </w:rPr>
        <w:t xml:space="preserve">Page: </w:t>
      </w:r>
      <w:r>
        <w:rPr>
          <w:sz w:val="20"/>
        </w:rPr>
        <w:t>347</w:t>
      </w:r>
    </w:p>
    <w:p>
      <w:pPr>
        <w:spacing w:before="120"/>
      </w:pPr>
      <w:r>
        <w:rPr>
          <w:b/>
          <w:sz w:val="22"/>
        </w:rPr>
        <w:t>Rule H2a</w:t>
      </w:r>
      <w:r>
        <w:t xml:space="preserve"> — Applicant/OC/Sponsor Undertaking for SII Placees</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disclose any reliance on the SII Placees mechanism to meet the Aggregate Investment Benchmark.</w:t>
      </w:r>
    </w:p>
    <w:p>
      <w:pPr>
        <w:spacing w:before="120"/>
      </w:pPr>
      <w:r>
        <w:rPr>
          <w:b/>
          <w:sz w:val="22"/>
        </w:rPr>
        <w:t>Rule H2b</w:t>
      </w:r>
      <w:r>
        <w:t xml:space="preserve"> — SII Placee Sophistication</w:t>
      </w:r>
      <w:r>
        <w:t xml:space="preserve">   </w:t>
      </w:r>
      <w:r>
        <w:rPr>
          <w:b/>
          <w:color w:val="606060"/>
        </w:rPr>
        <w:t>[not_applicable]</w:t>
      </w:r>
    </w:p>
    <w:p>
      <w:pPr>
        <w:spacing w:before="0" w:after="0"/>
        <w:ind w:left="360"/>
      </w:pPr>
      <w:r>
        <w:rPr>
          <w:b/>
          <w:sz w:val="20"/>
        </w:rPr>
        <w:t xml:space="preserve">Analysis: </w:t>
      </w:r>
      <w:r>
        <w:rPr>
          <w:sz w:val="20"/>
        </w:rPr>
        <w:t>This rule is not applicable as H2a is not triggered.</w:t>
      </w:r>
    </w:p>
    <w:p>
      <w:pPr>
        <w:spacing w:before="120"/>
      </w:pPr>
      <w:r>
        <w:rPr>
          <w:b/>
          <w:sz w:val="22"/>
        </w:rPr>
        <w:t>Rule H2c</w:t>
      </w:r>
      <w:r>
        <w:t xml:space="preserve"> — Advance HKEX Submission for Para 21(iv) Placees</w:t>
      </w:r>
      <w:r>
        <w:t xml:space="preserve">   </w:t>
      </w:r>
      <w:r>
        <w:rPr>
          <w:b/>
          <w:color w:val="606060"/>
        </w:rPr>
        <w:t>[not_applicable]</w:t>
      </w:r>
    </w:p>
    <w:p>
      <w:pPr>
        <w:spacing w:before="0" w:after="0"/>
        <w:ind w:left="360"/>
      </w:pPr>
      <w:r>
        <w:rPr>
          <w:b/>
          <w:sz w:val="20"/>
        </w:rPr>
        <w:t xml:space="preserve">Analysis: </w:t>
      </w:r>
      <w:r>
        <w:rPr>
          <w:sz w:val="20"/>
        </w:rPr>
        <w:t>This rule is not applicable as H2a is not triggered.</w:t>
      </w:r>
    </w:p>
    <w:p>
      <w:pPr>
        <w:spacing w:before="120"/>
      </w:pPr>
      <w:r>
        <w:rPr>
          <w:b/>
          <w:sz w:val="22"/>
        </w:rPr>
        <w:t>Rule H3</w:t>
      </w:r>
      <w:r>
        <w:t xml:space="preserve"> — Post-Listing Allotment Results Disclosure</w:t>
      </w:r>
      <w:r>
        <w:t xml:space="preserve">   </w:t>
      </w:r>
      <w:r>
        <w:rPr>
          <w:b/>
          <w:color w:val="606060"/>
        </w:rPr>
        <w:t>[not_applicable]</w:t>
      </w:r>
    </w:p>
    <w:p>
      <w:pPr>
        <w:spacing w:before="0" w:after="0"/>
        <w:ind w:left="360"/>
      </w:pPr>
      <w:r>
        <w:rPr>
          <w:b/>
          <w:sz w:val="20"/>
        </w:rPr>
        <w:t xml:space="preserve">Analysis: </w:t>
      </w:r>
      <w:r>
        <w:rPr>
          <w:sz w:val="20"/>
        </w:rPr>
        <w:t>This rule is not applicable as H2a is not triggered.</w:t>
      </w:r>
    </w:p>
    <w:p/>
    <w:p>
      <w:pPr>
        <w:pStyle w:val="Heading2"/>
      </w:pPr>
      <w:r>
        <w:t>Module I: Secondary / Dual Listings (Paras 33–34)</w:t>
      </w:r>
    </w:p>
    <w:p>
      <w:pPr>
        <w:spacing w:before="120"/>
      </w:pPr>
      <w:r>
        <w:rPr>
          <w:b/>
          <w:sz w:val="22"/>
        </w:rPr>
        <w:t>Rule I1</w:t>
      </w:r>
      <w:r>
        <w:t xml:space="preserve"> — Non-Standard Compliance Disclosure</w:t>
      </w:r>
      <w:r>
        <w:t xml:space="preserve">   </w:t>
      </w:r>
      <w:r>
        <w:rPr>
          <w:b/>
          <w:color w:val="606060"/>
        </w:rPr>
        <w:t>[not_applicable]</w:t>
      </w:r>
    </w:p>
    <w:p>
      <w:pPr>
        <w:spacing w:before="0" w:after="0"/>
        <w:ind w:left="360"/>
      </w:pPr>
      <w:r>
        <w:rPr>
          <w:b/>
          <w:sz w:val="20"/>
        </w:rPr>
        <w:t xml:space="preserve">Analysis: </w:t>
      </w:r>
      <w:r>
        <w:rPr>
          <w:sz w:val="20"/>
        </w:rPr>
        <w:t>This rule is not applicable as the prospectus does not indicate that the applicant is already listed on a recognised overseas stock exchange.</w:t>
      </w:r>
    </w:p>
    <w:p>
      <w:pPr>
        <w:spacing w:before="0" w:after="0"/>
        <w:ind w:left="360"/>
      </w:pPr>
      <w:r>
        <w:rPr>
          <w:b/>
          <w:sz w:val="20"/>
        </w:rPr>
        <w:t xml:space="preserve">Source: </w:t>
      </w:r>
      <w:r>
        <w:rPr>
          <w:sz w:val="20"/>
        </w:rPr>
        <w:t>tier2/history_of_group</w:t>
      </w:r>
    </w:p>
    <w:p>
      <w:pPr>
        <w:spacing w:before="0" w:after="0"/>
        <w:ind w:left="360"/>
      </w:pPr>
      <w:r>
        <w:rPr>
          <w:b/>
          <w:sz w:val="20"/>
        </w:rPr>
        <w:t xml:space="preserve">Page: </w:t>
      </w:r>
      <w:r>
        <w:rPr>
          <w:sz w:val="20"/>
        </w:rPr>
        <w:t>176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