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IPO Prospectus Analysis — Black Sesame International Holding Limited</w:t>
      </w:r>
    </w:p>
    <w:p>
      <w:pPr>
        <w:jc w:val="center"/>
      </w:pPr>
      <w:r>
        <w:rPr>
          <w:color w:val="606060"/>
        </w:rPr>
        <w:t>Analysis date: 2024-07-31</w:t>
      </w:r>
    </w:p>
    <w:p/>
    <w:p>
      <w:pPr>
        <w:pStyle w:val="Heading1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Total rules checked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Present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Absent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Insufficient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Not Applicable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Reasoning flags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 xml:space="preserve">  Critical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 xml:space="preserve">  High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 xml:space="preserve">  Medium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1"/>
      </w:pPr>
      <w:r>
        <w:t>Modules &amp; Rules</w:t>
      </w:r>
    </w:p>
    <w:p>
      <w:pPr>
        <w:pStyle w:val="Heading2"/>
      </w:pPr>
      <w:r>
        <w:t>Module 0: Pre-Conditions and Company Classification</w:t>
      </w:r>
    </w:p>
    <w:p>
      <w:pPr>
        <w:spacing w:before="120"/>
      </w:pPr>
      <w:r>
        <w:rPr>
          <w:b/>
          <w:sz w:val="22"/>
        </w:rPr>
        <w:t>Rule P1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P2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P3</w:t>
      </w:r>
      <w:r>
        <w:t xml:space="preserve">   </w:t>
      </w:r>
      <w:r>
        <w:rPr>
          <w:b/>
          <w:color w:val="1A7A3C"/>
        </w:rPr>
        <w:t>[Present]</w:t>
      </w:r>
    </w:p>
    <w:p/>
    <w:p>
      <w:pPr>
        <w:pStyle w:val="Heading2"/>
      </w:pPr>
      <w:r>
        <w:t>Module A: Independence</w:t>
      </w:r>
    </w:p>
    <w:p>
      <w:pPr>
        <w:spacing w:before="120"/>
      </w:pPr>
      <w:r>
        <w:rPr>
          <w:b/>
          <w:sz w:val="22"/>
        </w:rPr>
        <w:t>Rule A1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A2</w:t>
      </w:r>
      <w:r>
        <w:t xml:space="preserve">   </w:t>
      </w:r>
      <w:r>
        <w:rPr>
          <w:b/>
          <w:color w:val="E67E00"/>
        </w:rPr>
        <w:t>[Insufficient]</w:t>
      </w:r>
    </w:p>
    <w:p>
      <w:pPr>
        <w:spacing w:before="120"/>
      </w:pPr>
      <w:r>
        <w:rPr>
          <w:b/>
          <w:sz w:val="22"/>
        </w:rPr>
        <w:t>Rule A3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A4</w:t>
      </w:r>
      <w:r>
        <w:t xml:space="preserve">   </w:t>
      </w:r>
      <w:r>
        <w:rPr>
          <w:b/>
          <w:color w:val="E67E00"/>
        </w:rPr>
        <w:t>[Insufficient]</w:t>
      </w:r>
    </w:p>
    <w:p>
      <w:pPr>
        <w:spacing w:before="120"/>
      </w:pPr>
      <w:r>
        <w:rPr>
          <w:b/>
          <w:sz w:val="22"/>
        </w:rPr>
        <w:t>Rule A5</w:t>
      </w:r>
      <w:r>
        <w:t xml:space="preserve">   </w:t>
      </w:r>
      <w:r>
        <w:rPr>
          <w:b/>
          <w:color w:val="CC0000"/>
        </w:rPr>
        <w:t>[Absent]</w:t>
      </w:r>
    </w:p>
    <w:p/>
    <w:p>
      <w:pPr>
        <w:pStyle w:val="Heading2"/>
      </w:pPr>
      <w:r>
        <w:t>Module B: Sophistication</w:t>
      </w:r>
    </w:p>
    <w:p>
      <w:pPr>
        <w:spacing w:before="120"/>
      </w:pPr>
      <w:r>
        <w:rPr>
          <w:b/>
          <w:sz w:val="22"/>
        </w:rPr>
        <w:t>Rule B1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B2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B3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B4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B5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B6</w:t>
      </w:r>
      <w:r>
        <w:t xml:space="preserve">   </w:t>
      </w:r>
      <w:r>
        <w:rPr>
          <w:b/>
          <w:color w:val="606060"/>
        </w:rPr>
        <w:t>[Not Applicable]</w:t>
      </w:r>
    </w:p>
    <w:p/>
    <w:p>
      <w:pPr>
        <w:pStyle w:val="Heading2"/>
      </w:pPr>
      <w:r>
        <w:t>Module C: SII Disclosure Requirements</w:t>
      </w:r>
    </w:p>
    <w:p>
      <w:pPr>
        <w:spacing w:before="120"/>
      </w:pPr>
      <w:r>
        <w:rPr>
          <w:b/>
          <w:sz w:val="22"/>
        </w:rPr>
        <w:t>Rule C1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C2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C3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C4</w:t>
      </w:r>
      <w:r>
        <w:t xml:space="preserve">   </w:t>
      </w:r>
      <w:r>
        <w:rPr>
          <w:b/>
          <w:color w:val="CC0000"/>
        </w:rPr>
        <w:t>[Absent]</w:t>
      </w:r>
    </w:p>
    <w:p/>
    <w:p>
      <w:pPr>
        <w:pStyle w:val="Heading2"/>
      </w:pPr>
      <w:r>
        <w:t>Module D: Pathfinder SII Requirements</w:t>
      </w:r>
    </w:p>
    <w:p>
      <w:pPr>
        <w:spacing w:before="120"/>
      </w:pPr>
      <w:r>
        <w:rPr>
          <w:b/>
          <w:sz w:val="22"/>
        </w:rPr>
        <w:t>Rule D1a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D1b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D2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D3</w:t>
      </w:r>
      <w:r>
        <w:t xml:space="preserve">   </w:t>
      </w:r>
      <w:r>
        <w:rPr>
          <w:b/>
          <w:color w:val="1A7A3C"/>
        </w:rPr>
        <w:t>[Present]</w:t>
      </w:r>
    </w:p>
    <w:p/>
    <w:p>
      <w:pPr>
        <w:pStyle w:val="Heading2"/>
      </w:pPr>
      <w:r>
        <w:t>Module E: Aggregate SII Investment Benchmark</w:t>
      </w:r>
    </w:p>
    <w:p>
      <w:pPr>
        <w:spacing w:before="120"/>
      </w:pPr>
      <w:r>
        <w:rPr>
          <w:b/>
          <w:sz w:val="22"/>
        </w:rPr>
        <w:t>Rule E1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E2</w:t>
      </w:r>
      <w:r>
        <w:t xml:space="preserve">   </w:t>
      </w:r>
      <w:r>
        <w:rPr>
          <w:b/>
          <w:color w:val="1A7A3C"/>
        </w:rPr>
        <w:t>[Present]</w:t>
      </w:r>
    </w:p>
    <w:p/>
    <w:p>
      <w:pPr>
        <w:pStyle w:val="Heading2"/>
      </w:pPr>
      <w:r>
        <w:t>Module F: Convertible Securities</w:t>
      </w:r>
    </w:p>
    <w:p>
      <w:pPr>
        <w:spacing w:before="120"/>
      </w:pPr>
      <w:r>
        <w:rPr>
          <w:b/>
          <w:sz w:val="22"/>
        </w:rPr>
        <w:t>Rule F1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F2</w:t>
      </w:r>
      <w:r>
        <w:t xml:space="preserve">   </w:t>
      </w:r>
      <w:r>
        <w:rPr>
          <w:b/>
          <w:color w:val="1A7A3C"/>
        </w:rPr>
        <w:t>[Present]</w:t>
      </w:r>
    </w:p>
    <w:p/>
    <w:p>
      <w:pPr>
        <w:pStyle w:val="Heading2"/>
      </w:pPr>
      <w:r>
        <w:t>Module G: Lock-Up Obligations</w:t>
      </w:r>
    </w:p>
    <w:p>
      <w:pPr>
        <w:spacing w:before="120"/>
      </w:pPr>
      <w:r>
        <w:rPr>
          <w:b/>
          <w:sz w:val="22"/>
        </w:rPr>
        <w:t>Rule G1</w:t>
      </w:r>
      <w:r>
        <w:t xml:space="preserve">   </w:t>
      </w:r>
      <w:r>
        <w:rPr>
          <w:b/>
          <w:color w:val="1A7A3C"/>
        </w:rPr>
        <w:t>[Present]</w:t>
      </w:r>
    </w:p>
    <w:p/>
    <w:p>
      <w:pPr>
        <w:pStyle w:val="Heading2"/>
      </w:pPr>
      <w:r>
        <w:t>Module H: SII Placees</w:t>
      </w:r>
    </w:p>
    <w:p>
      <w:pPr>
        <w:spacing w:before="120"/>
      </w:pPr>
      <w:r>
        <w:rPr>
          <w:b/>
          <w:sz w:val="22"/>
        </w:rPr>
        <w:t>Rule H1</w:t>
      </w:r>
      <w:r>
        <w:t xml:space="preserve">   </w:t>
      </w:r>
      <w:r>
        <w:rPr>
          <w:b/>
          <w:color w:val="606060"/>
        </w:rPr>
        <w:t>[Not Applicable]</w:t>
      </w:r>
    </w:p>
    <w:p>
      <w:pPr>
        <w:spacing w:before="120"/>
      </w:pPr>
      <w:r>
        <w:rPr>
          <w:b/>
          <w:sz w:val="22"/>
        </w:rPr>
        <w:t>Rule H2a</w:t>
      </w:r>
      <w:r>
        <w:t xml:space="preserve">   </w:t>
      </w:r>
      <w:r>
        <w:rPr>
          <w:b/>
          <w:color w:val="606060"/>
        </w:rPr>
        <w:t>[Not Applicable]</w:t>
      </w:r>
    </w:p>
    <w:p>
      <w:pPr>
        <w:spacing w:before="120"/>
      </w:pPr>
      <w:r>
        <w:rPr>
          <w:b/>
          <w:sz w:val="22"/>
        </w:rPr>
        <w:t>Rule H2b</w:t>
      </w:r>
      <w:r>
        <w:t xml:space="preserve">   </w:t>
      </w:r>
      <w:r>
        <w:rPr>
          <w:b/>
          <w:color w:val="606060"/>
        </w:rPr>
        <w:t>[Not Applicable]</w:t>
      </w:r>
    </w:p>
    <w:p>
      <w:pPr>
        <w:spacing w:before="120"/>
      </w:pPr>
      <w:r>
        <w:rPr>
          <w:b/>
          <w:sz w:val="22"/>
        </w:rPr>
        <w:t>Rule H2c</w:t>
      </w:r>
      <w:r>
        <w:t xml:space="preserve">   </w:t>
      </w:r>
      <w:r>
        <w:rPr>
          <w:b/>
          <w:color w:val="606060"/>
        </w:rPr>
        <w:t>[Not Applicable]</w:t>
      </w:r>
    </w:p>
    <w:p>
      <w:pPr>
        <w:spacing w:before="120"/>
      </w:pPr>
      <w:r>
        <w:rPr>
          <w:b/>
          <w:sz w:val="22"/>
        </w:rPr>
        <w:t>Rule H3</w:t>
      </w:r>
      <w:r>
        <w:t xml:space="preserve">   </w:t>
      </w:r>
      <w:r>
        <w:rPr>
          <w:b/>
          <w:color w:val="606060"/>
        </w:rPr>
        <w:t>[Not Applicable]</w:t>
      </w:r>
    </w:p>
    <w:p/>
    <w:p>
      <w:pPr>
        <w:pStyle w:val="Heading2"/>
      </w:pPr>
      <w:r>
        <w:t>Module I: Secondary / Dual Listings</w:t>
      </w:r>
    </w:p>
    <w:p>
      <w:pPr>
        <w:spacing w:before="120"/>
      </w:pPr>
      <w:r>
        <w:rPr>
          <w:b/>
          <w:sz w:val="22"/>
        </w:rPr>
        <w:t>Rule I1</w:t>
      </w:r>
      <w:r>
        <w:t xml:space="preserve">   </w:t>
      </w:r>
      <w:r>
        <w:rPr>
          <w:b/>
          <w:color w:val="606060"/>
        </w:rPr>
        <w:t>[Not Applicable]</w:t>
      </w:r>
    </w:p>
    <w:p/>
    <w:p>
      <w:pPr>
        <w:pStyle w:val="Heading1"/>
      </w:pPr>
      <w:r>
        <w:t>Reasoning Flags</w:t>
      </w:r>
    </w:p>
    <w:p>
      <w:r>
        <w:rPr>
          <w:b/>
          <w:color w:val="CC0000"/>
        </w:rPr>
        <w:t>[Critical]</w:t>
      </w:r>
    </w:p>
    <w:p>
      <w:r>
        <w:rPr>
          <w:b/>
          <w:color w:val="1A5FA8"/>
        </w:rPr>
        <w:t>[Medium]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