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IPO Prospectus Analysis — Black Sesame International Holding Limited</w:t>
      </w:r>
    </w:p>
    <w:p>
      <w:pPr>
        <w:jc w:val="center"/>
      </w:pPr>
      <w:r>
        <w:rPr>
          <w:color w:val="606060"/>
        </w:rPr>
        <w:t>Analysis date: 2024-07-31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rules checked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Absent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Insufficient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Not Applicable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Reasoning flags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  Critical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 xml:space="preserve">  High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 xml:space="preserve">  Medium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1"/>
      </w:pPr>
      <w:r>
        <w:t>Modules &amp; Rules</w:t>
      </w:r>
    </w:p>
    <w:p>
      <w:pPr>
        <w:pStyle w:val="Heading2"/>
      </w:pPr>
      <w:r>
        <w:t>Module 0: Pre-Conditions and Company Classification</w:t>
      </w:r>
    </w:p>
    <w:p>
      <w:r>
        <w:t>No rules in this module.</w:t>
      </w:r>
    </w:p>
    <w:p>
      <w:pPr>
        <w:pStyle w:val="Heading2"/>
      </w:pPr>
      <w:r>
        <w:t>Module A: Independence of Sophisticated Investors (Paras 17–19)</w:t>
      </w:r>
    </w:p>
    <w:p>
      <w:pPr>
        <w:spacing w:before="120"/>
      </w:pPr>
      <w:r>
        <w:rPr>
          <w:b/>
          <w:sz w:val="22"/>
        </w:rPr>
        <w:t>Rule A1</w:t>
      </w:r>
      <w:r>
        <w:t xml:space="preserve">   </w:t>
      </w:r>
      <w:r>
        <w:rPr>
          <w:b/>
          <w:color w:val="333333"/>
        </w:rPr>
        <w:t>[]</w:t>
      </w:r>
    </w:p>
    <w:p>
      <w:pPr>
        <w:spacing w:before="120"/>
      </w:pPr>
      <w:r>
        <w:rPr>
          <w:b/>
          <w:sz w:val="22"/>
        </w:rPr>
        <w:t>Rule A6</w:t>
      </w:r>
      <w:r>
        <w:t xml:space="preserve">   </w:t>
      </w:r>
      <w:r>
        <w:rPr>
          <w:b/>
          <w:color w:val="333333"/>
        </w:rPr>
        <w:t>[]</w:t>
      </w:r>
    </w:p>
    <w:p/>
    <w:p>
      <w:pPr>
        <w:pStyle w:val="Heading2"/>
      </w:pPr>
      <w:r>
        <w:t>Module B: Sophistication of Investors (Paras 20–24)</w:t>
      </w:r>
    </w:p>
    <w:p>
      <w:pPr>
        <w:spacing w:before="120"/>
      </w:pPr>
      <w:r>
        <w:rPr>
          <w:b/>
          <w:sz w:val="22"/>
        </w:rPr>
        <w:t>Rule B2</w:t>
      </w:r>
      <w:r>
        <w:t xml:space="preserve">   </w:t>
      </w:r>
      <w:r>
        <w:rPr>
          <w:b/>
          <w:color w:val="333333"/>
        </w:rPr>
        <w:t>[]</w:t>
      </w:r>
    </w:p>
    <w:p>
      <w:pPr>
        <w:spacing w:before="120"/>
      </w:pPr>
      <w:r>
        <w:rPr>
          <w:b/>
          <w:sz w:val="22"/>
        </w:rPr>
        <w:t>Rule B4</w:t>
      </w:r>
      <w:r>
        <w:t xml:space="preserve">   </w:t>
      </w:r>
      <w:r>
        <w:rPr>
          <w:b/>
          <w:color w:val="333333"/>
        </w:rPr>
        <w:t>[]</w:t>
      </w:r>
    </w:p>
    <w:p/>
    <w:p>
      <w:pPr>
        <w:pStyle w:val="Heading2"/>
      </w:pPr>
      <w:r>
        <w:t>Module C: SII Disclosure Requirements (Para 25)</w:t>
      </w:r>
    </w:p>
    <w:p>
      <w:pPr>
        <w:spacing w:before="120"/>
      </w:pPr>
      <w:r>
        <w:rPr>
          <w:b/>
          <w:sz w:val="22"/>
        </w:rPr>
        <w:t>Rule C2</w:t>
      </w:r>
      <w:r>
        <w:t xml:space="preserve">   </w:t>
      </w:r>
      <w:r>
        <w:rPr>
          <w:b/>
          <w:color w:val="333333"/>
        </w:rPr>
        <w:t>[]</w:t>
      </w:r>
    </w:p>
    <w:p>
      <w:pPr>
        <w:spacing w:before="120"/>
      </w:pPr>
      <w:r>
        <w:rPr>
          <w:b/>
          <w:sz w:val="22"/>
        </w:rPr>
        <w:t>Rule C3</w:t>
      </w:r>
      <w:r>
        <w:t xml:space="preserve">   </w:t>
      </w:r>
      <w:r>
        <w:rPr>
          <w:b/>
          <w:color w:val="333333"/>
        </w:rPr>
        <w:t>[]</w:t>
      </w:r>
    </w:p>
    <w:p/>
    <w:p>
      <w:pPr>
        <w:pStyle w:val="Heading2"/>
      </w:pPr>
      <w:r>
        <w:t>Module D: Pathfinder SII Requirements (Para 26(i))</w:t>
      </w:r>
    </w:p>
    <w:p>
      <w:pPr>
        <w:spacing w:before="120"/>
      </w:pPr>
      <w:r>
        <w:rPr>
          <w:b/>
          <w:sz w:val="22"/>
        </w:rPr>
        <w:t>Rule D1b</w:t>
      </w:r>
      <w:r>
        <w:t xml:space="preserve">   </w:t>
      </w:r>
      <w:r>
        <w:rPr>
          <w:b/>
          <w:color w:val="333333"/>
        </w:rPr>
        <w:t>[]</w:t>
      </w:r>
    </w:p>
    <w:p/>
    <w:p>
      <w:pPr>
        <w:pStyle w:val="Heading2"/>
      </w:pPr>
      <w:r>
        <w:t>Module E: Aggregate SII Investment Benchmark (Para 26(ii))</w:t>
      </w:r>
    </w:p>
    <w:p>
      <w:r>
        <w:t>No rules in this module.</w:t>
      </w:r>
    </w:p>
    <w:p>
      <w:pPr>
        <w:pStyle w:val="Heading2"/>
      </w:pPr>
      <w:r>
        <w:t>Module F: Convertible Securities (Paras 27–28)</w:t>
      </w:r>
    </w:p>
    <w:p>
      <w:r>
        <w:t>No rules in this module.</w:t>
      </w:r>
    </w:p>
    <w:p>
      <w:pPr>
        <w:pStyle w:val="Heading2"/>
      </w:pPr>
      <w:r>
        <w:t>Module G: Shareholding Fluctuations (Paras 29–31)</w:t>
      </w:r>
    </w:p>
    <w:p>
      <w:pPr>
        <w:spacing w:before="120"/>
      </w:pPr>
      <w:r>
        <w:rPr>
          <w:b/>
          <w:sz w:val="22"/>
        </w:rPr>
        <w:t>Rule G1</w:t>
      </w:r>
      <w:r>
        <w:t xml:space="preserve">   </w:t>
      </w:r>
      <w:r>
        <w:rPr>
          <w:b/>
          <w:color w:val="333333"/>
        </w:rPr>
        <w:t>[]</w:t>
      </w:r>
    </w:p>
    <w:p/>
    <w:p>
      <w:pPr>
        <w:pStyle w:val="Heading2"/>
      </w:pPr>
      <w:r>
        <w:t>Module H: Aggregate Benchmark Mechanics (Para 32)</w:t>
      </w:r>
    </w:p>
    <w:p>
      <w:r>
        <w:t>No rules in this module.</w:t>
      </w:r>
    </w:p>
    <w:p>
      <w:pPr>
        <w:pStyle w:val="Heading2"/>
      </w:pPr>
      <w:r>
        <w:t>Module I: Secondary / Dual Listings (Paras 33–34)</w:t>
      </w:r>
    </w:p>
    <w:p>
      <w:r>
        <w:t>No rules in this module.</w:t>
      </w:r>
    </w:p>
    <w:p>
      <w:pPr>
        <w:pStyle w:val="Heading1"/>
      </w:pPr>
      <w:r>
        <w:t>Reasoning Flags</w:t>
      </w:r>
    </w:p>
    <w:p>
      <w:r>
        <w:rPr>
          <w:b/>
          <w:color w:val="E67E00"/>
        </w:rPr>
        <w:t>[High]</w:t>
      </w:r>
    </w:p>
    <w:p>
      <w:pPr>
        <w:spacing w:before="0" w:after="0"/>
        <w:ind w:left="360"/>
      </w:pPr>
      <w:r>
        <w:rPr>
          <w:b/>
          <w:sz w:val="20"/>
        </w:rPr>
        <w:t xml:space="preserve">Recommendation: </w:t>
      </w:r>
      <w:r>
        <w:rPr>
          <w:sz w:val="20"/>
        </w:rPr>
        <w:t>Reconcile the individual Pathfinder SII holdings with the disclosed aggregate holding and ensure the figures are arithmetically consistent. Clarify the basis for the discrepancy.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