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IPO Prospectus Analysis — Black Sesame International Holding Limited</w:t>
      </w:r>
    </w:p>
    <w:p>
      <w:pPr>
        <w:jc w:val="center"/>
      </w:pPr>
      <w:r>
        <w:rPr>
          <w:color w:val="606060"/>
        </w:rPr>
        <w:t>Analysis date: 2024-07-31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rules checked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Absent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Insufficient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Not Applicable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Reasoning flags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 xml:space="preserve">  Critical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 xml:space="preserve">  High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 xml:space="preserve">  Medium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r>
        <w:t>Modules &amp; Rules</w:t>
      </w:r>
    </w:p>
    <w:p>
      <w:pPr>
        <w:pStyle w:val="Heading2"/>
      </w:pPr>
      <w:r>
        <w:t>Module 0: Pre-Conditions and Company Classification</w:t>
      </w:r>
    </w:p>
    <w:p>
      <w:r>
        <w:t>No rules in this module.</w:t>
      </w:r>
    </w:p>
    <w:p>
      <w:pPr>
        <w:pStyle w:val="Heading2"/>
      </w:pPr>
      <w:r>
        <w:t>Module A: Independence of Sophisticated Investors (Paras 17–19)</w:t>
      </w:r>
    </w:p>
    <w:p>
      <w:pPr>
        <w:spacing w:before="120"/>
      </w:pPr>
      <w:r>
        <w:rPr>
          <w:b/>
          <w:sz w:val="22"/>
        </w:rPr>
        <w:t>Rule A1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A5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A6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B: Sophistication of Investors (Paras 20–24)</w:t>
      </w:r>
    </w:p>
    <w:p>
      <w:pPr>
        <w:spacing w:before="120"/>
      </w:pPr>
      <w:r>
        <w:rPr>
          <w:b/>
          <w:sz w:val="22"/>
        </w:rPr>
        <w:t>Rule B4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C: SII Disclosure Requirements (Para 25)</w:t>
      </w:r>
    </w:p>
    <w:p>
      <w:pPr>
        <w:spacing w:before="120"/>
      </w:pPr>
      <w:r>
        <w:rPr>
          <w:b/>
          <w:sz w:val="22"/>
        </w:rPr>
        <w:t>Rule C2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C3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D: Pathfinder SII Requirements (Para 26(i))</w:t>
      </w:r>
    </w:p>
    <w:p>
      <w:pPr>
        <w:spacing w:before="120"/>
      </w:pPr>
      <w:r>
        <w:rPr>
          <w:b/>
          <w:sz w:val="22"/>
        </w:rPr>
        <w:t>Rule D1b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E: Aggregate SII Investment Benchmark (Para 26(ii))</w:t>
      </w:r>
    </w:p>
    <w:p>
      <w:pPr>
        <w:spacing w:before="120"/>
      </w:pPr>
      <w:r>
        <w:rPr>
          <w:b/>
          <w:sz w:val="22"/>
        </w:rPr>
        <w:t>Rule E1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F: Convertible Securities (Paras 27–28)</w:t>
      </w:r>
    </w:p>
    <w:p>
      <w:pPr>
        <w:spacing w:before="120"/>
      </w:pPr>
      <w:r>
        <w:rPr>
          <w:b/>
          <w:sz w:val="22"/>
        </w:rPr>
        <w:t>Rule F2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G: Shareholding Fluctuations (Paras 29–31)</w:t>
      </w:r>
    </w:p>
    <w:p>
      <w:pPr>
        <w:spacing w:before="120"/>
      </w:pPr>
      <w:r>
        <w:rPr>
          <w:b/>
          <w:sz w:val="22"/>
        </w:rPr>
        <w:t>Rule G1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G3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H: Aggregate Benchmark Mechanics (Para 32)</w:t>
      </w:r>
    </w:p>
    <w:p>
      <w:r>
        <w:t>No rules in this module.</w:t>
      </w:r>
    </w:p>
    <w:p>
      <w:pPr>
        <w:pStyle w:val="Heading2"/>
      </w:pPr>
      <w:r>
        <w:t>Module I: Secondary / Dual Listings (Paras 33–34)</w:t>
      </w:r>
    </w:p>
    <w:p>
      <w:r>
        <w:t>No rules in this module.</w:t>
      </w:r>
    </w:p>
    <w:p>
      <w:pPr>
        <w:pStyle w:val="Heading1"/>
      </w:pPr>
      <w:r>
        <w:t>Reasoning Flags</w:t>
      </w:r>
    </w:p>
    <w:p>
      <w:r>
        <w:rPr>
          <w:b/>
          <w:color w:val="1A5FA8"/>
        </w:rPr>
        <w:t>[Medium]</w:t>
      </w:r>
    </w:p>
    <w:p>
      <w:pPr>
        <w:spacing w:before="0" w:after="0"/>
        <w:ind w:left="360"/>
      </w:pPr>
      <w:r>
        <w:rPr>
          <w:b/>
          <w:sz w:val="20"/>
        </w:rPr>
        <w:t xml:space="preserve">Recommendation: </w:t>
      </w:r>
      <w:r>
        <w:rPr>
          <w:sz w:val="20"/>
        </w:rPr>
        <w:t>Verify the individual and aggregate SII shareholding percentages and ensure they are arithmetically consistent. Remove the word 'approximately' and use precise, consistent figures throughout.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