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IPO Prospectus Analysis — Black Sesame International Holding Limited</w:t>
      </w:r>
    </w:p>
    <w:p>
      <w:pPr>
        <w:jc w:val="center"/>
      </w:pPr>
      <w:r>
        <w:rPr>
          <w:color w:val="606060"/>
        </w:rPr>
        <w:t>Analysis date: 2024-07-31</w:t>
      </w:r>
    </w:p>
    <w:p/>
    <w:p>
      <w:pPr>
        <w:pStyle w:val="Heading1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Total rules checked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Present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Absent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Insufficient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>Not Applicable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Reasoning flags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 xml:space="preserve">  Critical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 xml:space="preserve">  High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t xml:space="preserve">  Medium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</w:tbl>
    <w:p/>
    <w:p>
      <w:pPr>
        <w:pStyle w:val="Heading1"/>
      </w:pPr>
      <w:r>
        <w:t>Modules &amp; Rules</w:t>
      </w:r>
    </w:p>
    <w:p>
      <w:pPr>
        <w:pStyle w:val="Heading2"/>
      </w:pPr>
      <w:r>
        <w:t>Module 0: Pre-Conditions and Company Classification</w:t>
      </w:r>
    </w:p>
    <w:p>
      <w:r>
        <w:t>No rules in this module.</w:t>
      </w:r>
    </w:p>
    <w:p>
      <w:pPr>
        <w:pStyle w:val="Heading2"/>
      </w:pPr>
      <w:r>
        <w:t>Module A: Independence of Sophisticated Investors (Paras 17–19)</w:t>
      </w:r>
    </w:p>
    <w:p>
      <w:pPr>
        <w:spacing w:before="120"/>
      </w:pPr>
      <w:r>
        <w:rPr>
          <w:b/>
          <w:sz w:val="22"/>
        </w:rPr>
        <w:t>Rule A1</w:t>
      </w:r>
      <w:r>
        <w:t xml:space="preserve">   </w:t>
      </w:r>
      <w:r>
        <w:rPr>
          <w:b/>
          <w:color w:val="333333"/>
        </w:rPr>
        <w:t>[]</w:t>
      </w:r>
    </w:p>
    <w:p>
      <w:pPr>
        <w:spacing w:before="120"/>
      </w:pPr>
      <w:r>
        <w:rPr>
          <w:b/>
          <w:sz w:val="22"/>
        </w:rPr>
        <w:t>Rule A2</w:t>
      </w:r>
      <w:r>
        <w:t xml:space="preserve">   </w:t>
      </w:r>
      <w:r>
        <w:rPr>
          <w:b/>
          <w:color w:val="333333"/>
        </w:rPr>
        <w:t>[]</w:t>
      </w:r>
    </w:p>
    <w:p>
      <w:pPr>
        <w:spacing w:before="120"/>
      </w:pPr>
      <w:r>
        <w:rPr>
          <w:b/>
          <w:sz w:val="22"/>
        </w:rPr>
        <w:t>Rule A5</w:t>
      </w:r>
      <w:r>
        <w:t xml:space="preserve">   </w:t>
      </w:r>
      <w:r>
        <w:rPr>
          <w:b/>
          <w:color w:val="333333"/>
        </w:rPr>
        <w:t>[]</w:t>
      </w:r>
    </w:p>
    <w:p>
      <w:pPr>
        <w:spacing w:before="120"/>
      </w:pPr>
      <w:r>
        <w:rPr>
          <w:b/>
          <w:sz w:val="22"/>
        </w:rPr>
        <w:t>Rule A6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B: Sophistication of Investors (Paras 20–24)</w:t>
      </w:r>
    </w:p>
    <w:p>
      <w:pPr>
        <w:spacing w:before="120"/>
      </w:pPr>
      <w:r>
        <w:rPr>
          <w:b/>
          <w:sz w:val="22"/>
        </w:rPr>
        <w:t>Rule B6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C: SII Disclosure Requirements (Para 25)</w:t>
      </w:r>
    </w:p>
    <w:p>
      <w:pPr>
        <w:spacing w:before="120"/>
      </w:pPr>
      <w:r>
        <w:rPr>
          <w:b/>
          <w:sz w:val="22"/>
        </w:rPr>
        <w:t>Rule C1</w:t>
      </w:r>
      <w:r>
        <w:t xml:space="preserve">   </w:t>
      </w:r>
      <w:r>
        <w:rPr>
          <w:b/>
          <w:color w:val="333333"/>
        </w:rPr>
        <w:t>[]</w:t>
      </w:r>
    </w:p>
    <w:p>
      <w:pPr>
        <w:spacing w:before="120"/>
      </w:pPr>
      <w:r>
        <w:rPr>
          <w:b/>
          <w:sz w:val="22"/>
        </w:rPr>
        <w:t>Rule C2</w:t>
      </w:r>
      <w:r>
        <w:t xml:space="preserve">   </w:t>
      </w:r>
      <w:r>
        <w:rPr>
          <w:b/>
          <w:color w:val="333333"/>
        </w:rPr>
        <w:t>[]</w:t>
      </w:r>
    </w:p>
    <w:p>
      <w:pPr>
        <w:spacing w:before="120"/>
      </w:pPr>
      <w:r>
        <w:rPr>
          <w:b/>
          <w:sz w:val="22"/>
        </w:rPr>
        <w:t>Rule C3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D: Pathfinder SII Requirements (Para 26(i))</w:t>
      </w:r>
    </w:p>
    <w:p>
      <w:pPr>
        <w:spacing w:before="120"/>
      </w:pPr>
      <w:r>
        <w:rPr>
          <w:b/>
          <w:sz w:val="22"/>
        </w:rPr>
        <w:t>Rule D1b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E: Aggregate SII Investment Benchmark (Para 26(ii))</w:t>
      </w:r>
    </w:p>
    <w:p>
      <w:pPr>
        <w:spacing w:before="120"/>
      </w:pPr>
      <w:r>
        <w:rPr>
          <w:b/>
          <w:sz w:val="22"/>
        </w:rPr>
        <w:t>Rule E1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F: Convertible Securities (Paras 27–28)</w:t>
      </w:r>
    </w:p>
    <w:p>
      <w:pPr>
        <w:spacing w:before="120"/>
      </w:pPr>
      <w:r>
        <w:rPr>
          <w:b/>
          <w:sz w:val="22"/>
        </w:rPr>
        <w:t>Rule F2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G: Shareholding Fluctuations (Paras 29–31)</w:t>
      </w:r>
    </w:p>
    <w:p>
      <w:pPr>
        <w:spacing w:before="120"/>
      </w:pPr>
      <w:r>
        <w:rPr>
          <w:b/>
          <w:sz w:val="22"/>
        </w:rPr>
        <w:t>Rule G1</w:t>
      </w:r>
      <w:r>
        <w:t xml:space="preserve">   </w:t>
      </w:r>
      <w:r>
        <w:rPr>
          <w:b/>
          <w:color w:val="333333"/>
        </w:rPr>
        <w:t>[]</w:t>
      </w:r>
    </w:p>
    <w:p>
      <w:pPr>
        <w:spacing w:before="120"/>
      </w:pPr>
      <w:r>
        <w:rPr>
          <w:b/>
          <w:sz w:val="22"/>
        </w:rPr>
        <w:t>Rule G3</w:t>
      </w:r>
      <w:r>
        <w:t xml:space="preserve">   </w:t>
      </w:r>
      <w:r>
        <w:rPr>
          <w:b/>
          <w:color w:val="333333"/>
        </w:rPr>
        <w:t>[]</w:t>
      </w:r>
    </w:p>
    <w:p/>
    <w:p>
      <w:pPr>
        <w:pStyle w:val="Heading2"/>
      </w:pPr>
      <w:r>
        <w:t>Module H: Aggregate Benchmark Mechanics (Para 32)</w:t>
      </w:r>
    </w:p>
    <w:p>
      <w:r>
        <w:t>No rules in this module.</w:t>
      </w:r>
    </w:p>
    <w:p>
      <w:pPr>
        <w:pStyle w:val="Heading2"/>
      </w:pPr>
      <w:r>
        <w:t>Module I: Secondary / Dual Listings (Paras 33–34)</w:t>
      </w:r>
    </w:p>
    <w:p>
      <w:r>
        <w:t>No rules in this module.</w:t>
      </w:r>
    </w:p>
    <w:p>
      <w:pPr>
        <w:pStyle w:val="Heading1"/>
      </w:pPr>
      <w:r>
        <w:t>Reasoning Flags</w:t>
      </w:r>
    </w:p>
    <w:p>
      <w:r>
        <w:rPr>
          <w:b/>
          <w:color w:val="E67E00"/>
        </w:rPr>
        <w:t>[High]</w:t>
      </w:r>
    </w:p>
    <w:p>
      <w:pPr>
        <w:spacing w:before="0" w:after="0"/>
        <w:ind w:left="360"/>
      </w:pPr>
      <w:r>
        <w:rPr>
          <w:b/>
          <w:sz w:val="20"/>
        </w:rPr>
        <w:t xml:space="preserve">Recommendation: </w:t>
      </w:r>
      <w:r>
        <w:rPr>
          <w:sz w:val="20"/>
        </w:rPr>
        <w:t>Reconcile all shareholding percentages for SIIs across all sections of the prospectus, including narrative text and tables, to ensure arithmetic accuracy and consistency. Correct any discrepancies.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