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Prospectus Analysis — Black Sesame International Holding Limited</w:t>
      </w:r>
    </w:p>
    <w:p>
      <w:pPr>
        <w:jc w:val="center"/>
      </w:pPr>
      <w:r>
        <w:rPr>
          <w:color w:val="606060"/>
        </w:rPr>
        <w:t>Analysis date: 2024-07-31</w:t>
      </w:r>
    </w:p>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rules evaluated</w:t>
            </w:r>
          </w:p>
        </w:tc>
        <w:tc>
          <w:tcPr>
            <w:tcW w:type="dxa" w:w="4320"/>
          </w:tcPr>
          <w:p>
            <w:r>
              <w:t>30</w:t>
            </w:r>
          </w:p>
        </w:tc>
      </w:tr>
      <w:tr>
        <w:tc>
          <w:tcPr>
            <w:tcW w:type="dxa" w:w="4320"/>
          </w:tcPr>
          <w:p>
            <w:r>
              <w:t>Rules clear</w:t>
            </w:r>
          </w:p>
        </w:tc>
        <w:tc>
          <w:tcPr>
            <w:tcW w:type="dxa" w:w="4320"/>
          </w:tcPr>
          <w:p>
            <w:r>
              <w:t>20</w:t>
            </w:r>
          </w:p>
        </w:tc>
      </w:tr>
      <w:tr>
        <w:tc>
          <w:tcPr>
            <w:tcW w:type="dxa" w:w="4320"/>
          </w:tcPr>
          <w:p>
            <w:r>
              <w:t>Rules with issues</w:t>
            </w:r>
          </w:p>
        </w:tc>
        <w:tc>
          <w:tcPr>
            <w:tcW w:type="dxa" w:w="4320"/>
          </w:tcPr>
          <w:p>
            <w:r>
              <w:t>10</w:t>
            </w:r>
          </w:p>
        </w:tc>
      </w:tr>
      <w:tr>
        <w:tc>
          <w:tcPr>
            <w:tcW w:type="dxa" w:w="4320"/>
          </w:tcPr>
          <w:p>
            <w:r>
              <w:t>Not Applicable</w:t>
            </w:r>
          </w:p>
        </w:tc>
        <w:tc>
          <w:tcPr>
            <w:tcW w:type="dxa" w:w="4320"/>
          </w:tcPr>
          <w:p>
            <w:r>
              <w:t>9</w:t>
            </w:r>
          </w:p>
        </w:tc>
      </w:tr>
      <w:tr>
        <w:tc>
          <w:tcPr>
            <w:tcW w:type="dxa" w:w="4320"/>
          </w:tcPr>
          <w:p>
            <w:r>
              <w:t>Reasoning flags</w:t>
            </w:r>
          </w:p>
        </w:tc>
        <w:tc>
          <w:tcPr>
            <w:tcW w:type="dxa" w:w="4320"/>
          </w:tcPr>
          <w:p>
            <w:r>
              <w:t>1</w:t>
            </w:r>
          </w:p>
        </w:tc>
      </w:tr>
      <w:tr>
        <w:tc>
          <w:tcPr>
            <w:tcW w:type="dxa" w:w="4320"/>
          </w:tcPr>
          <w:p>
            <w:r>
              <w:t xml:space="preserve">  Critical findings</w:t>
            </w:r>
          </w:p>
        </w:tc>
        <w:tc>
          <w:tcPr>
            <w:tcW w:type="dxa" w:w="4320"/>
          </w:tcPr>
          <w:p>
            <w:r>
              <w:t>8</w:t>
            </w:r>
          </w:p>
        </w:tc>
      </w:tr>
      <w:tr>
        <w:tc>
          <w:tcPr>
            <w:tcW w:type="dxa" w:w="4320"/>
          </w:tcPr>
          <w:p>
            <w:r>
              <w:t xml:space="preserve">  High findings</w:t>
            </w:r>
          </w:p>
        </w:tc>
        <w:tc>
          <w:tcPr>
            <w:tcW w:type="dxa" w:w="4320"/>
          </w:tcPr>
          <w:p>
            <w:r>
              <w:t>2</w:t>
            </w:r>
          </w:p>
        </w:tc>
      </w:tr>
      <w:tr>
        <w:tc>
          <w:tcPr>
            <w:tcW w:type="dxa" w:w="4320"/>
          </w:tcPr>
          <w:p>
            <w:r>
              <w:t xml:space="preserve">  Medium findings</w:t>
            </w:r>
          </w:p>
        </w:tc>
        <w:tc>
          <w:tcPr>
            <w:tcW w:type="dxa" w:w="4320"/>
          </w:tcPr>
          <w:p>
            <w:r>
              <w:t>2</w:t>
            </w:r>
          </w:p>
        </w:tc>
      </w:tr>
    </w:tbl>
    <w:p/>
    <w:p>
      <w:pPr>
        <w:pStyle w:val="Heading1"/>
      </w:pPr>
      <w:r>
        <w:t>Modules &amp; Rules</w:t>
      </w:r>
    </w:p>
    <w:p>
      <w:pPr>
        <w:pStyle w:val="Heading2"/>
      </w:pPr>
      <w:r>
        <w:t>Module 0: Pre-Conditions and Company Classification</w:t>
      </w:r>
    </w:p>
    <w:p>
      <w:pPr>
        <w:spacing w:before="120"/>
      </w:pPr>
      <w:r>
        <w:rPr>
          <w:b/>
          <w:sz w:val="22"/>
        </w:rPr>
        <w:t>Rule P1</w:t>
      </w:r>
      <w:r>
        <w:t xml:space="preserve"> — Specialist Technology Company Status</w:t>
      </w:r>
      <w:r>
        <w:t xml:space="preserve">   </w:t>
      </w:r>
      <w:r>
        <w:rPr>
          <w:b/>
          <w:color w:val="1A7A3C"/>
        </w:rPr>
        <w:t>[clear]</w:t>
      </w:r>
    </w:p>
    <w:p>
      <w:pPr>
        <w:spacing w:before="0" w:after="0"/>
        <w:ind w:left="360"/>
      </w:pPr>
      <w:r>
        <w:rPr>
          <w:b/>
          <w:sz w:val="20"/>
        </w:rPr>
        <w:t xml:space="preserve">Analysis: </w:t>
      </w:r>
      <w:r>
        <w:rPr>
          <w:sz w:val="20"/>
        </w:rPr>
        <w:t>The prospectus identifies the company as an 'automotive-grade computing SoC and SoC-based intelligent vehicle solution provider'. The Business chapter (tier1/business, pages 232-234) explicitly maps its products to the Specialist Technology Industry of 'Advanced hardware and software' and the acceptable sectors of 'Semiconductors' and 'Electric and autonomous vehicles', satisfying MB Rule 18C.01.</w:t>
      </w:r>
    </w:p>
    <w:p>
      <w:pPr>
        <w:spacing w:before="0" w:after="0"/>
        <w:ind w:left="360"/>
      </w:pPr>
      <w:r>
        <w:rPr>
          <w:b/>
          <w:sz w:val="20"/>
        </w:rPr>
        <w:t xml:space="preserve">Source: </w:t>
      </w:r>
      <w:r>
        <w:rPr>
          <w:sz w:val="20"/>
        </w:rPr>
        <w:t>tier1/business</w:t>
      </w:r>
    </w:p>
    <w:p>
      <w:pPr>
        <w:spacing w:before="0" w:after="0"/>
        <w:ind w:left="360"/>
      </w:pPr>
      <w:r>
        <w:rPr>
          <w:b/>
          <w:sz w:val="20"/>
        </w:rPr>
        <w:t xml:space="preserve">Page: </w:t>
      </w:r>
      <w:r>
        <w:rPr>
          <w:sz w:val="20"/>
        </w:rPr>
        <w:t>232</w:t>
      </w:r>
    </w:p>
    <w:p>
      <w:pPr>
        <w:spacing w:before="0" w:after="0"/>
        <w:ind w:left="360"/>
      </w:pPr>
      <w:r>
        <w:rPr>
          <w:b/>
          <w:sz w:val="20"/>
        </w:rPr>
        <w:t xml:space="preserve">Anchor: </w:t>
      </w:r>
      <w:r>
        <w:rPr>
          <w:sz w:val="20"/>
        </w:rPr>
        <w:t>each of our autonomous driving products and solutions and</w:t>
      </w:r>
    </w:p>
    <w:p>
      <w:pPr>
        <w:spacing w:before="120"/>
      </w:pPr>
      <w:r>
        <w:rPr>
          <w:b/>
          <w:sz w:val="22"/>
        </w:rPr>
        <w:t>Rule P2</w:t>
      </w:r>
      <w:r>
        <w:t xml:space="preserve"> — Commercial or Pre-Commercial Classification</w:t>
      </w:r>
      <w:r>
        <w:t xml:space="preserve">   </w:t>
      </w:r>
      <w:r>
        <w:rPr>
          <w:b/>
          <w:color w:val="1A7A3C"/>
        </w:rPr>
        <w:t>[clear]</w:t>
      </w:r>
    </w:p>
    <w:p>
      <w:pPr>
        <w:spacing w:before="0" w:after="0"/>
        <w:ind w:left="360"/>
      </w:pPr>
      <w:r>
        <w:rPr>
          <w:b/>
          <w:sz w:val="20"/>
        </w:rPr>
        <w:t xml:space="preserve">Analysis: </w:t>
      </w:r>
      <w:r>
        <w:rPr>
          <w:sz w:val="20"/>
        </w:rPr>
        <w:t>The prospectus states the company is a Commercial Company (tier1/information_about_this_prospectus_and_the_global_offering, page 125). The Financial Information chapter (tier1/financial_information, page 366) discloses audited revenue of RMB312.4 million for the most recent financial year (2023). This figure, equivalent to approximately HK$342.0 million, exceeds the PARAM_COMM_REV_MIN threshold of HK$250m, correctly classifying the company as a Commercial Company per MB Rule 18C.03(4).</w:t>
      </w:r>
    </w:p>
    <w:p>
      <w:pPr>
        <w:spacing w:before="0" w:after="0"/>
        <w:ind w:left="360"/>
      </w:pPr>
      <w:r>
        <w:rPr>
          <w:b/>
          <w:sz w:val="20"/>
        </w:rPr>
        <w:t xml:space="preserve">Source: </w:t>
      </w:r>
      <w:r>
        <w:rPr>
          <w:sz w:val="20"/>
        </w:rPr>
        <w:t>tier1/information_about_this_prospectus_and_the_global_offering</w:t>
      </w:r>
    </w:p>
    <w:p>
      <w:pPr>
        <w:spacing w:before="0" w:after="0"/>
        <w:ind w:left="360"/>
      </w:pPr>
      <w:r>
        <w:rPr>
          <w:b/>
          <w:sz w:val="20"/>
        </w:rPr>
        <w:t xml:space="preserve">Page: </w:t>
      </w:r>
      <w:r>
        <w:rPr>
          <w:sz w:val="20"/>
        </w:rPr>
        <w:t>125</w:t>
      </w:r>
    </w:p>
    <w:p>
      <w:pPr>
        <w:spacing w:before="0" w:after="0"/>
        <w:ind w:left="360"/>
      </w:pPr>
      <w:r>
        <w:rPr>
          <w:b/>
          <w:sz w:val="20"/>
        </w:rPr>
        <w:t xml:space="preserve">Anchor: </w:t>
      </w:r>
      <w:r>
        <w:rPr>
          <w:sz w:val="20"/>
        </w:rPr>
        <w:t>we satisfy the requirements under Rule 18C.03 of the</w:t>
      </w:r>
    </w:p>
    <w:p>
      <w:pPr>
        <w:spacing w:before="120"/>
      </w:pPr>
      <w:r>
        <w:rPr>
          <w:b/>
          <w:sz w:val="22"/>
        </w:rPr>
        <w:t>Rule P3</w:t>
      </w:r>
      <w:r>
        <w:t xml:space="preserve"> — Market Capitalisation Tier</w:t>
      </w:r>
      <w:r>
        <w:t xml:space="preserve">   </w:t>
      </w:r>
      <w:r>
        <w:rPr>
          <w:b/>
          <w:color w:val="1A7A3C"/>
        </w:rPr>
        <w:t>[clear]</w:t>
      </w:r>
    </w:p>
    <w:p>
      <w:pPr>
        <w:spacing w:before="0" w:after="0"/>
        <w:ind w:left="360"/>
      </w:pPr>
      <w:r>
        <w:rPr>
          <w:b/>
          <w:sz w:val="20"/>
        </w:rPr>
        <w:t xml:space="preserve">Analysis: </w:t>
      </w:r>
      <w:r>
        <w:rPr>
          <w:sz w:val="20"/>
        </w:rPr>
        <w:t>The prospectus discloses an expected market capitalization. The SII section (tier2/pre_ipo_investment, page 195) assumes the 'expected market capitalization at the time of Listing will exceed HK$15 billion'. This places the company in the 'HK$15-30bn' tier for the purpose of the aggregate SII threshold under para 26(ii) of the Guide. The minimum expected market cap of over HK$6 billion (tier1/information_about_this_prospectus_and_the_global_offering, page 125) also exceeds the PARAM_MKTCAP_COMM_MIN of HK$4bn.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w:t>
      </w:r>
    </w:p>
    <w:p/>
    <w:p>
      <w:pPr>
        <w:pStyle w:val="Heading2"/>
      </w:pPr>
      <w:r>
        <w:t>Module A: Independence of Sophisticated Investors (Paras 17–19)</w:t>
      </w:r>
    </w:p>
    <w:p>
      <w:pPr>
        <w:spacing w:before="120"/>
      </w:pPr>
      <w:r>
        <w:rPr>
          <w:b/>
          <w:sz w:val="22"/>
        </w:rPr>
        <w:t>Rule A1</w:t>
      </w:r>
      <w:r>
        <w:t xml:space="preserve"> — Date of Independence Assessment</w:t>
      </w:r>
      <w:r>
        <w:t xml:space="preserve">   </w:t>
      </w:r>
      <w:r>
        <w:rPr>
          <w:b/>
          <w:color w:val="E67E00"/>
        </w:rPr>
        <w:t>[has_issues]</w:t>
      </w:r>
    </w:p>
    <w:p>
      <w:pPr>
        <w:spacing w:before="0" w:after="0"/>
        <w:ind w:left="360"/>
      </w:pPr>
      <w:r>
        <w:rPr>
          <w:b/>
          <w:sz w:val="20"/>
        </w:rPr>
        <w:t xml:space="preserve">Analysis: </w:t>
      </w:r>
      <w:r>
        <w:rPr>
          <w:sz w:val="20"/>
        </w:rPr>
        <w:t>The prospectus makes a generic statement about independence but fails to disclose the specific definitive agreement date for each SII, which is required by para 17 of the Guide to anchor the independence assessment. This prevents verification of the assessment timeline.</w:t>
      </w:r>
    </w:p>
    <w:p>
      <w:pPr>
        <w:ind w:left="360"/>
      </w:pPr>
      <w:r>
        <w:rPr>
          <w:b/>
          <w:sz w:val="20"/>
        </w:rPr>
        <w:t>Finding 1: Disclosure [Critical / Absent]</w:t>
      </w:r>
    </w:p>
    <w:p>
      <w:pPr>
        <w:spacing w:before="0" w:after="0"/>
        <w:ind w:left="360"/>
      </w:pPr>
      <w:r>
        <w:rPr>
          <w:b/>
          <w:sz w:val="20"/>
        </w:rPr>
        <w:t xml:space="preserve">Explanation: </w:t>
      </w:r>
      <w:r>
        <w:rPr>
          <w:sz w:val="20"/>
        </w:rPr>
        <w:t>Per para 17 of the Guide, independence is determined as at the date of signing of the definitive agreement. The prospectus (tier2/pre_ipo_investment, page 191, footnote 1) provides a generic description of the reference date for sophistication figures relative to the definitive agreement date, but does not disclose the specific calendar date of the definitive agreement for each individual SII. This omission makes it impossible to verify the date as of which independence was assessed.</w:t>
      </w:r>
    </w:p>
    <w:p>
      <w:pPr>
        <w:spacing w:before="0" w:after="0"/>
        <w:ind w:left="360"/>
      </w:pPr>
      <w:r>
        <w:rPr>
          <w:b/>
          <w:sz w:val="20"/>
        </w:rPr>
        <w:t xml:space="preserve">Recommendation: </w:t>
      </w:r>
      <w:r>
        <w:rPr>
          <w:sz w:val="20"/>
        </w:rPr>
        <w:t>Disclose the specific calendar date of the definitive investment agreement for each Sophisticated Independent Investor and confirm independence was assessed as at that date.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not more than six months prior to the date</w:t>
      </w:r>
    </w:p>
    <w:p>
      <w:pPr>
        <w:ind w:left="360"/>
      </w:pPr>
      <w:r>
        <w:rPr>
          <w:b/>
          <w:sz w:val="20"/>
        </w:rPr>
        <w:t>Finding 2: Language [Critical / Insufficient]</w:t>
      </w:r>
    </w:p>
    <w:p>
      <w:pPr>
        <w:spacing w:before="0" w:after="0"/>
        <w:ind w:left="360"/>
      </w:pPr>
      <w:r>
        <w:rPr>
          <w:b/>
          <w:sz w:val="20"/>
        </w:rPr>
        <w:t xml:space="preserve">Explanation: </w:t>
      </w:r>
      <w:r>
        <w:rPr>
          <w:sz w:val="20"/>
        </w:rPr>
        <w:t>The prospectus (tier2/pre_ipo_investment, page 186) makes a single generic statement that 'each of our Sophisticated Independent Investors is independent from and not connected with any Director...'. Para 17 requires a specific confirmation for each SII. A blanket statement is insufficient, particularly where potential connections are disclosed elsewhere (e.g., Dr. YANG Lei and Northern Light SIIs).</w:t>
      </w:r>
    </w:p>
    <w:p>
      <w:pPr>
        <w:spacing w:before="0" w:after="0"/>
        <w:ind w:left="360"/>
      </w:pPr>
      <w:r>
        <w:rPr>
          <w:b/>
          <w:sz w:val="20"/>
        </w:rPr>
        <w:t xml:space="preserve">Recommendation: </w:t>
      </w:r>
      <w:r>
        <w:rPr>
          <w:sz w:val="20"/>
        </w:rPr>
        <w:t>Provide a distinct statement of independence for each SII, rather than a single generic assertion covering all investors.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w:t>
      </w:r>
    </w:p>
    <w:p>
      <w:pPr>
        <w:spacing w:before="120"/>
      </w:pPr>
      <w:r>
        <w:rPr>
          <w:b/>
          <w:sz w:val="22"/>
        </w:rPr>
        <w:t>Rule A2</w:t>
      </w:r>
      <w:r>
        <w:t xml:space="preserve"> — Core Connected Persons Excluded</w:t>
      </w:r>
      <w:r>
        <w:t xml:space="preserve">   </w:t>
      </w:r>
      <w:r>
        <w:rPr>
          <w:b/>
          <w:color w:val="1A7A3C"/>
        </w:rPr>
        <w:t>[clear]</w:t>
      </w:r>
    </w:p>
    <w:p>
      <w:pPr>
        <w:spacing w:before="0" w:after="0"/>
        <w:ind w:left="360"/>
      </w:pPr>
      <w:r>
        <w:rPr>
          <w:b/>
          <w:sz w:val="20"/>
        </w:rPr>
        <w:t xml:space="preserve">Analysis: </w:t>
      </w:r>
      <w:r>
        <w:rPr>
          <w:sz w:val="20"/>
        </w:rPr>
        <w:t>The prospectus states on page 186 of tier2/pre_ipo_investment that each SII is independent from and not connected with any Director, chief executive, or substantial shareholder, which addresses the core connected person exclusion under para 18(i) of the Guide. Cross-referencing against the Directors and Substantial Shareholders sections (tier1/directors_mgmt and tier1/cap_table) did not reveal any overlaps, with the exception of Dr. YANG Lei, which is addressed under rule A6.</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independent from and not connected with any Director, chief</w:t>
      </w:r>
    </w:p>
    <w:p>
      <w:pPr>
        <w:spacing w:before="120"/>
      </w:pPr>
      <w:r>
        <w:rPr>
          <w:b/>
          <w:sz w:val="22"/>
        </w:rPr>
        <w:t>Rule A3</w:t>
      </w:r>
      <w:r>
        <w:t xml:space="preserve"> — Controlling Shareholders Excluded</w:t>
      </w:r>
      <w:r>
        <w:t xml:space="preserve">   </w:t>
      </w:r>
      <w:r>
        <w:rPr>
          <w:b/>
          <w:color w:val="1A7A3C"/>
        </w:rPr>
        <w:t>[clear]</w:t>
      </w:r>
    </w:p>
    <w:p>
      <w:pPr>
        <w:spacing w:before="0" w:after="0"/>
        <w:ind w:left="360"/>
      </w:pPr>
      <w:r>
        <w:rPr>
          <w:b/>
          <w:sz w:val="20"/>
        </w:rPr>
        <w:t xml:space="preserve">Analysis: </w:t>
      </w:r>
      <w:r>
        <w:rPr>
          <w:sz w:val="20"/>
        </w:rPr>
        <w:t>The prospectus identifies Mr. Shan as the Single Largest Shareholder who will control approximately 21.68% of voting rights post-listing (tier1/cap_table, page 330). A cross-check of the SII list in tier2/pre_ipo_investment against the controlling shareholder disclosures confirms no overlap, satisfying the exclusion requirement of para 18(ii)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Save for being a shareholder of our Company and</w:t>
      </w:r>
    </w:p>
    <w:p>
      <w:pPr>
        <w:spacing w:before="120"/>
      </w:pPr>
      <w:r>
        <w:rPr>
          <w:b/>
          <w:sz w:val="22"/>
        </w:rPr>
        <w:t>Rule A4</w:t>
      </w:r>
      <w:r>
        <w:t xml:space="preserve"> — Founder and Close Associates Excluded</w:t>
      </w:r>
      <w:r>
        <w:t xml:space="preserve">   </w:t>
      </w:r>
      <w:r>
        <w:rPr>
          <w:b/>
          <w:color w:val="1A7A3C"/>
        </w:rPr>
        <w:t>[clear]</w:t>
      </w:r>
    </w:p>
    <w:p>
      <w:pPr>
        <w:spacing w:before="0" w:after="0"/>
        <w:ind w:left="360"/>
      </w:pPr>
      <w:r>
        <w:rPr>
          <w:b/>
          <w:sz w:val="20"/>
        </w:rPr>
        <w:t xml:space="preserve">Analysis: </w:t>
      </w:r>
      <w:r>
        <w:rPr>
          <w:sz w:val="20"/>
        </w:rPr>
        <w:t>The prospectus identifies Mr. Shan and Mr. Liu as founders (tier1/directors_mgmt, page 312). The general independence statement on page 186 of tier2/pre_ipo_investment covers independence from founders. A cross-check of the SII list against founder disclosures and their close associates did not reveal any overlaps, satisfying the exclusion requirement of para 18(iii)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w:t>
      </w:r>
    </w:p>
    <w:p>
      <w:pPr>
        <w:spacing w:before="120"/>
      </w:pPr>
      <w:r>
        <w:rPr>
          <w:b/>
          <w:sz w:val="22"/>
        </w:rPr>
        <w:t>Rule A5</w:t>
      </w:r>
      <w:r>
        <w:t xml:space="preserve"> — Acting-in-Concert and Prior Business Relationships</w:t>
      </w:r>
      <w:r>
        <w:t xml:space="preserve">   </w:t>
      </w:r>
      <w:r>
        <w:rPr>
          <w:b/>
          <w:color w:val="1A7A3C"/>
        </w:rPr>
        <w:t>[clear]</w:t>
      </w:r>
    </w:p>
    <w:p>
      <w:pPr>
        <w:spacing w:before="0" w:after="0"/>
        <w:ind w:left="360"/>
      </w:pPr>
      <w:r>
        <w:rPr>
          <w:b/>
          <w:sz w:val="20"/>
        </w:rPr>
        <w:t xml:space="preserve">Analysis: </w:t>
      </w:r>
      <w:r>
        <w:rPr>
          <w:sz w:val="20"/>
        </w:rPr>
        <w:t>The prospectus discloses prior business relationships for Geely SII and SAIC Motor SII on page 191 of tier2/pre_ipo_investment, stating the acquaintance arose from 'discussions on business cooperations' and referencing strategic cooperation agreements. This disclosure addresses the requirement under para 19 of the Guide. No acting-in-concert arrangements are disclosed.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acquainted with Geely SII through discussions on business cooperations.</w:t>
      </w:r>
    </w:p>
    <w:p>
      <w:pPr>
        <w:spacing w:before="120"/>
      </w:pPr>
      <w:r>
        <w:rPr>
          <w:b/>
          <w:sz w:val="22"/>
        </w:rPr>
        <w:t>Rule A6</w:t>
      </w:r>
      <w:r>
        <w:t xml:space="preserve"> — Board Representation by SII</w:t>
      </w:r>
      <w:r>
        <w:t xml:space="preserve">   </w:t>
      </w:r>
      <w:r>
        <w:rPr>
          <w:b/>
          <w:color w:val="E67E00"/>
        </w:rPr>
        <w:t>[has_issues]</w:t>
      </w:r>
    </w:p>
    <w:p>
      <w:pPr>
        <w:spacing w:before="0" w:after="0"/>
        <w:ind w:left="360"/>
      </w:pPr>
      <w:r>
        <w:rPr>
          <w:b/>
          <w:sz w:val="20"/>
        </w:rPr>
        <w:t xml:space="preserve">Analysis: </w:t>
      </w:r>
      <w:r>
        <w:rPr>
          <w:sz w:val="20"/>
        </w:rPr>
        <w:t>The prospectus discloses that a non-executive Director, Dr. YANG Lei, was a partner at Northern Light Venture Capital, the manager of a Pathfinder SII. This triggers the board representation rule. However, the disclosure does not explicitly state that the SII is not a close associate of the director, which is a required element under footnote 8 of the Guide.</w:t>
      </w:r>
    </w:p>
    <w:p>
      <w:pPr>
        <w:ind w:left="360"/>
      </w:pPr>
      <w:r>
        <w:rPr>
          <w:b/>
          <w:sz w:val="20"/>
        </w:rPr>
        <w:t>Finding 1: Disclosure [High / Absent]</w:t>
      </w:r>
    </w:p>
    <w:p>
      <w:pPr>
        <w:spacing w:before="0" w:after="0"/>
        <w:ind w:left="360"/>
      </w:pPr>
      <w:r>
        <w:rPr>
          <w:b/>
          <w:sz w:val="20"/>
        </w:rPr>
        <w:t xml:space="preserve">Explanation: </w:t>
      </w:r>
      <w:r>
        <w:rPr>
          <w:sz w:val="20"/>
        </w:rPr>
        <w:t>Footnote 8 of the Guide allows an SII to have a board representative and still be considered independent, provided they are not a close associate of the director. Tier2/pre_ipo_investment, page 186, discloses that Dr. YANG Lei, a non-executive Director, was a partner at Northern Light Venture Capital (manager of a Pathfinder SII) until October 2021. While the relationship is disclosed, the prospectus fails to explicitly state that the Northern Light SIIs are not a close associate of Dr. YANG Lei, which is a necessary confirmation to satisfy the independence requirement under this rule.</w:t>
      </w:r>
    </w:p>
    <w:p>
      <w:pPr>
        <w:spacing w:before="0" w:after="0"/>
        <w:ind w:left="360"/>
      </w:pPr>
      <w:r>
        <w:rPr>
          <w:b/>
          <w:sz w:val="20"/>
        </w:rPr>
        <w:t xml:space="preserve">Recommendation: </w:t>
      </w:r>
      <w:r>
        <w:rPr>
          <w:sz w:val="20"/>
        </w:rPr>
        <w:t>Amend the disclosure to explicitly state that the Northern Light SIIs are not a close associate of Dr. YANG Lei and provide the basis for this conclusion.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w:t>
      </w:r>
    </w:p>
    <w:p/>
    <w:p>
      <w:pPr>
        <w:pStyle w:val="Heading2"/>
      </w:pPr>
      <w:r>
        <w:t>Module B: Sophistication of Investors (Paras 20–24)</w:t>
      </w:r>
    </w:p>
    <w:p>
      <w:pPr>
        <w:spacing w:before="120"/>
      </w:pPr>
      <w:r>
        <w:rPr>
          <w:b/>
          <w:sz w:val="22"/>
        </w:rPr>
        <w:t>Rule B1</w:t>
      </w:r>
      <w:r>
        <w:t xml:space="preserve"> — Sophistication Requirement Generally</w:t>
      </w:r>
      <w:r>
        <w:t xml:space="preserve">   </w:t>
      </w:r>
      <w:r>
        <w:rPr>
          <w:b/>
          <w:color w:val="1A7A3C"/>
        </w:rPr>
        <w:t>[clear]</w:t>
      </w:r>
    </w:p>
    <w:p>
      <w:pPr>
        <w:spacing w:before="0" w:after="0"/>
        <w:ind w:left="360"/>
      </w:pPr>
      <w:r>
        <w:rPr>
          <w:b/>
          <w:sz w:val="20"/>
        </w:rPr>
        <w:t xml:space="preserve">Analysis: </w:t>
      </w:r>
      <w:r>
        <w:rPr>
          <w:sz w:val="20"/>
        </w:rPr>
        <w:t>The prospectus provides a distinct sophistication analysis for each of the nine SIIs in tier2/pre_ipo_investment on pages 186-191. Each analysis identifies the SII by its full legal name and states the basis under para 21 of the Guide upon which its sophistication is claimed, satisfying the general requirement of para 20.</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Set out below is a description of our Sophisticated</w:t>
      </w:r>
    </w:p>
    <w:p>
      <w:pPr>
        <w:spacing w:before="120"/>
      </w:pPr>
      <w:r>
        <w:rPr>
          <w:b/>
          <w:sz w:val="22"/>
        </w:rPr>
        <w:t>Rule B2</w:t>
      </w:r>
      <w:r>
        <w:t xml:space="preserve"> — Asset Management / Fund Threshold</w:t>
      </w:r>
      <w:r>
        <w:t xml:space="preserve">   </w:t>
      </w:r>
      <w:r>
        <w:rPr>
          <w:b/>
          <w:color w:val="E67E00"/>
        </w:rPr>
        <w:t>[has_issues]</w:t>
      </w:r>
    </w:p>
    <w:p>
      <w:pPr>
        <w:spacing w:before="0" w:after="0"/>
        <w:ind w:left="360"/>
      </w:pPr>
      <w:r>
        <w:rPr>
          <w:b/>
          <w:sz w:val="20"/>
        </w:rPr>
        <w:t xml:space="preserve">Analysis: </w:t>
      </w:r>
      <w:r>
        <w:rPr>
          <w:sz w:val="20"/>
        </w:rPr>
        <w:t>The prospectus claims sophistication for several SIIs under the para 21(i) AUM basis. While most meet the HK$15bn threshold, SummitView Capital's AUM as of its first reference date (HK$13.2bn) falls short. Although it meets the threshold on the second reference date and also qualifies under the tech-focus basis (B4), the initial threshold failure is a notable issue.</w:t>
      </w:r>
    </w:p>
    <w:p>
      <w:pPr>
        <w:ind w:left="360"/>
      </w:pPr>
      <w:r>
        <w:rPr>
          <w:b/>
          <w:sz w:val="20"/>
        </w:rPr>
        <w:t>Finding 1: Threshold [Critical / Insufficient]</w:t>
      </w:r>
    </w:p>
    <w:p>
      <w:pPr>
        <w:spacing w:before="0" w:after="0"/>
        <w:ind w:left="360"/>
      </w:pPr>
      <w:r>
        <w:rPr>
          <w:b/>
          <w:sz w:val="20"/>
        </w:rPr>
        <w:t xml:space="preserve">Explanation: </w:t>
      </w:r>
      <w:r>
        <w:rPr>
          <w:sz w:val="20"/>
        </w:rPr>
        <w:t>SummitView SIIs' sophistication is claimed partly under the para 21(i) AUM basis. The disclosed AUM as of December 31, 2020 was approximately HK$13.2 billion (tier2/pre_ipo_investment, page 189). This figure is below the PARAM_B2_AUM_MIN threshold of HK$15 billion. While the AUM for the second reference date (HK$23.3bn) and its qualification under the para 21(iii) tech-focus basis (Rule B4) provide alternative grounds, the failure to meet the para 21(i) threshold on the first reference date is a compliance gap for that specific limb of the claim.</w:t>
      </w:r>
    </w:p>
    <w:p>
      <w:pPr>
        <w:spacing w:before="0" w:after="0"/>
        <w:ind w:left="360"/>
      </w:pPr>
      <w:r>
        <w:rPr>
          <w:b/>
          <w:sz w:val="20"/>
        </w:rPr>
        <w:t xml:space="preserve">Recommendation: </w:t>
      </w:r>
      <w:r>
        <w:rPr>
          <w:sz w:val="20"/>
        </w:rPr>
        <w:t>Clarify that sophistication for SummitView SIIs as of the first reference date is based on para 21(iii) (tech-focus) rather than para 21(i) (general AUM), or provide an alternative justification under para 24.</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The AUM of SummitView Capital (M&amp;A) was approximately HK$13.2</w:t>
      </w:r>
    </w:p>
    <w:p>
      <w:pPr>
        <w:spacing w:before="120"/>
      </w:pPr>
      <w:r>
        <w:rPr>
          <w:b/>
          <w:sz w:val="22"/>
        </w:rPr>
        <w:t>Rule B3</w:t>
      </w:r>
      <w:r>
        <w:t xml:space="preserve"> — Corporate Portfolio Threshold</w:t>
      </w:r>
      <w:r>
        <w:t xml:space="preserve">   </w:t>
      </w:r>
      <w:r>
        <w:rPr>
          <w:b/>
          <w:color w:val="1A7A3C"/>
        </w:rPr>
        <w:t>[clear]</w:t>
      </w:r>
    </w:p>
    <w:p>
      <w:pPr>
        <w:spacing w:before="0" w:after="0"/>
        <w:ind w:left="360"/>
      </w:pPr>
      <w:r>
        <w:rPr>
          <w:b/>
          <w:sz w:val="20"/>
        </w:rPr>
        <w:t xml:space="preserve">Analysis: </w:t>
      </w:r>
      <w:r>
        <w:rPr>
          <w:sz w:val="20"/>
        </w:rPr>
        <w:t>The prospectus claims sophistication for Xiaomi SII and Tencent SII under the para 21(ii) diverse portfolio basis. Disclosed portfolio sizes (Xiaomi: RMB74.5bn; Tencent: RMB878.7bn) as of their respective first reference dates (tier2/pre_ipo_investment, page 189) are substantially above the PARAM_B3_PORT_MIN of HK$15bn. The description of their businesses implies portfolio diversity.</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Xiaomi Corporation has a diverse investment portfolio of approximately</w:t>
      </w:r>
    </w:p>
    <w:p>
      <w:pPr>
        <w:spacing w:before="120"/>
      </w:pPr>
      <w:r>
        <w:rPr>
          <w:b/>
          <w:sz w:val="22"/>
        </w:rPr>
        <w:t>Rule B4</w:t>
      </w:r>
      <w:r>
        <w:t xml:space="preserve"> — Specialist Technology Focus Threshold</w:t>
      </w:r>
      <w:r>
        <w:t xml:space="preserve">   </w:t>
      </w:r>
      <w:r>
        <w:rPr>
          <w:b/>
          <w:color w:val="E67E00"/>
        </w:rPr>
        <w:t>[has_issues]</w:t>
      </w:r>
    </w:p>
    <w:p>
      <w:pPr>
        <w:spacing w:before="0" w:after="0"/>
        <w:ind w:left="360"/>
      </w:pPr>
      <w:r>
        <w:rPr>
          <w:b/>
          <w:sz w:val="20"/>
        </w:rPr>
        <w:t xml:space="preserve">Analysis: </w:t>
      </w:r>
      <w:r>
        <w:rPr>
          <w:sz w:val="20"/>
        </w:rPr>
        <w:t>Oceanpine SIIs' sophistication is claimed under the para 21(iii) tech-focused basis. The disclosure states its AUM is 'derived primarily from' Specialist Technology investments but does not provide a specific percentage or proportion to substantiate this claim, as required to demonstrate the 'primarily derived' element.</w:t>
      </w:r>
    </w:p>
    <w:p>
      <w:pPr>
        <w:ind w:left="360"/>
      </w:pPr>
      <w:r>
        <w:rPr>
          <w:b/>
          <w:sz w:val="20"/>
        </w:rPr>
        <w:t>Finding 1: Language [Critical / Insufficient]</w:t>
      </w:r>
    </w:p>
    <w:p>
      <w:pPr>
        <w:spacing w:before="0" w:after="0"/>
        <w:ind w:left="360"/>
      </w:pPr>
      <w:r>
        <w:rPr>
          <w:b/>
          <w:sz w:val="20"/>
        </w:rPr>
        <w:t xml:space="preserve">Explanation: </w:t>
      </w:r>
      <w:r>
        <w:rPr>
          <w:sz w:val="20"/>
        </w:rPr>
        <w:t>For Oceanpine SIIs, the prospectus (tier2/pre_ipo_investment, page 187) claims sophistication under para 21(iii) and states its AUM is 'derived primarily from the valuation of their investments in Specialist Technology Companies'. However, it does not provide a specific percentage or proportion to substantiate the 'primarily derived' claim. A bare assertion is insufficient to demonstrate compliance with the rule.</w:t>
      </w:r>
    </w:p>
    <w:p>
      <w:pPr>
        <w:spacing w:before="0" w:after="0"/>
        <w:ind w:left="360"/>
      </w:pPr>
      <w:r>
        <w:rPr>
          <w:b/>
          <w:sz w:val="20"/>
        </w:rPr>
        <w:t xml:space="preserve">Recommendation: </w:t>
      </w:r>
      <w:r>
        <w:rPr>
          <w:sz w:val="20"/>
        </w:rPr>
        <w:t>Disclose the specific percentage of Oceanpine's AUM that is derived from Specialist Technology investments to substantiate that it meets the 'primarily derived' requirement of para 21(iii).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derived primarily from the valuation of their investments in</w:t>
      </w:r>
    </w:p>
    <w:p>
      <w:pPr>
        <w:spacing w:before="120"/>
      </w:pPr>
      <w:r>
        <w:rPr>
          <w:b/>
          <w:sz w:val="22"/>
        </w:rPr>
        <w:t>Rule B5</w:t>
      </w:r>
      <w:r>
        <w:t xml:space="preserve"> — Key Market Participant</w:t>
      </w:r>
      <w:r>
        <w:t xml:space="preserve">   </w:t>
      </w:r>
      <w:r>
        <w:rPr>
          <w:b/>
          <w:color w:val="1A7A3C"/>
        </w:rPr>
        <w:t>[clear]</w:t>
      </w:r>
    </w:p>
    <w:p>
      <w:pPr>
        <w:spacing w:before="0" w:after="0"/>
        <w:ind w:left="360"/>
      </w:pPr>
      <w:r>
        <w:rPr>
          <w:b/>
          <w:sz w:val="20"/>
        </w:rPr>
        <w:t xml:space="preserve">Analysis: </w:t>
      </w:r>
      <w:r>
        <w:rPr>
          <w:sz w:val="20"/>
        </w:rPr>
        <w:t>The prospectus claims sophistication for Geely SII and SAIC Motor SII under the para 21(iv) key market participant basis. Page 191 of tier2/pre_ipo_investment describes them as key participants in the downstream automotive industry and substantiates this with a reference to a Frost &amp; Sullivan report on sales volume, which constitutes independent market data as required by the rule.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is a key participant in the downstream automotive industry</w:t>
      </w:r>
    </w:p>
    <w:p>
      <w:pPr>
        <w:spacing w:before="120"/>
      </w:pPr>
      <w:r>
        <w:rPr>
          <w:b/>
          <w:sz w:val="22"/>
        </w:rPr>
        <w:t>Rule B6</w:t>
      </w:r>
      <w:r>
        <w:t xml:space="preserve"> — Investment Portfolio Definition (Consolidated Subsidiaries)</w:t>
      </w:r>
      <w:r>
        <w:t xml:space="preserve">   </w:t>
      </w:r>
      <w:r>
        <w:rPr>
          <w:b/>
          <w:color w:val="E67E00"/>
        </w:rPr>
        <w:t>[has_issues]</w:t>
      </w:r>
    </w:p>
    <w:p>
      <w:pPr>
        <w:spacing w:before="0" w:after="0"/>
        <w:ind w:left="360"/>
      </w:pPr>
      <w:r>
        <w:rPr>
          <w:b/>
          <w:sz w:val="20"/>
        </w:rPr>
        <w:t xml:space="preserve">Analysis: </w:t>
      </w:r>
      <w:r>
        <w:rPr>
          <w:sz w:val="20"/>
        </w:rPr>
        <w:t>For SIIs qualifying on a portfolio basis (Xiaomi, Tencent), the prospectus does not explicitly state that consolidated subsidiaries are excluded from the portfolio calculation, as required by para 22 of the Guide. This is a minor disclosure omission.</w:t>
      </w:r>
    </w:p>
    <w:p>
      <w:pPr>
        <w:ind w:left="360"/>
      </w:pPr>
      <w:r>
        <w:rPr>
          <w:b/>
          <w:sz w:val="20"/>
        </w:rPr>
        <w:t>Finding 1: Disclosure [Medium / Absent]</w:t>
      </w:r>
    </w:p>
    <w:p>
      <w:pPr>
        <w:spacing w:before="0" w:after="0"/>
        <w:ind w:left="360"/>
      </w:pPr>
      <w:r>
        <w:rPr>
          <w:b/>
          <w:sz w:val="20"/>
        </w:rPr>
        <w:t xml:space="preserve">Explanation: </w:t>
      </w:r>
      <w:r>
        <w:rPr>
          <w:sz w:val="20"/>
        </w:rPr>
        <w:t>For SIIs whose sophistication is based on portfolio size under para 21(ii) or 21(iii) (e.g., Xiaomi SII, Tencent SII), para 22 of the Guide requires confirmation that consolidated subsidiaries are excluded from the portfolio calculation. The disclosures on page 189 of tier2/pre_ipo_investment do not contain this explicit confirmation.</w:t>
      </w:r>
    </w:p>
    <w:p>
      <w:pPr>
        <w:spacing w:before="0" w:after="0"/>
        <w:ind w:left="360"/>
      </w:pPr>
      <w:r>
        <w:rPr>
          <w:b/>
          <w:sz w:val="20"/>
        </w:rPr>
        <w:t xml:space="preserve">Recommendation: </w:t>
      </w:r>
      <w:r>
        <w:rPr>
          <w:sz w:val="20"/>
        </w:rPr>
        <w:t>For each SII qualifying on a portfolio basis, add a statement confirming that the value of consolidated subsidiaries has been excluded from the disclosed investment portfolio size.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has a diverse investment portfolio of approximately RMB74.5 billion</w:t>
      </w:r>
    </w:p>
    <w:p>
      <w:pPr>
        <w:spacing w:before="120"/>
      </w:pPr>
      <w:r>
        <w:rPr>
          <w:b/>
          <w:sz w:val="22"/>
        </w:rPr>
        <w:t>Rule B7</w:t>
      </w:r>
      <w:r>
        <w:t xml:space="preserve"> — Parent Entity or Fund Manager Qualification</w:t>
      </w:r>
      <w:r>
        <w:t xml:space="preserve">   </w:t>
      </w:r>
      <w:r>
        <w:rPr>
          <w:b/>
          <w:color w:val="1A7A3C"/>
        </w:rPr>
        <w:t>[clear]</w:t>
      </w:r>
    </w:p>
    <w:p>
      <w:pPr>
        <w:spacing w:before="0" w:after="0"/>
        <w:ind w:left="360"/>
      </w:pPr>
      <w:r>
        <w:rPr>
          <w:b/>
          <w:sz w:val="20"/>
        </w:rPr>
        <w:t xml:space="preserve">Analysis: </w:t>
      </w:r>
      <w:r>
        <w:rPr>
          <w:sz w:val="20"/>
        </w:rPr>
        <w:t>Several SIIs rely on a parent or manager's qualification under para 23 of the Guide (e.g., Northern Light SIIs/Northern Light Venture Capital; Xiaomi SII/Xiaomi Corporation; Tencent SII/Tencent Holdings). In each case, the parent/manager is identified and its qualifying AUM/portfolio figure is disclosed to the same standard as required by rules B2/B3, satisfying the rule.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is ultimately managed by Northern Light Venture Capital as</w:t>
      </w:r>
    </w:p>
    <w:p>
      <w:pPr>
        <w:spacing w:before="120"/>
      </w:pPr>
      <w:r>
        <w:rPr>
          <w:b/>
          <w:sz w:val="22"/>
        </w:rPr>
        <w:t>Rule B8</w:t>
      </w:r>
      <w:r>
        <w:t xml:space="preserve"> — HKEX Case-by-Case Acceptance</w:t>
      </w:r>
      <w:r>
        <w:t xml:space="preserve">   </w:t>
      </w:r>
      <w:r>
        <w:rPr>
          <w:b/>
          <w:color w:val="606060"/>
        </w:rPr>
        <w:t>[not_applicable]</w:t>
      </w:r>
    </w:p>
    <w:p>
      <w:pPr>
        <w:spacing w:before="0" w:after="0"/>
        <w:ind w:left="360"/>
      </w:pPr>
      <w:r>
        <w:rPr>
          <w:b/>
          <w:sz w:val="20"/>
        </w:rPr>
        <w:t xml:space="preserve">Analysis: </w:t>
      </w:r>
      <w:r>
        <w:rPr>
          <w:sz w:val="20"/>
        </w:rPr>
        <w:t>This rule is not applicable as all nine SIIs claim sophistication under the specific examples provided in para 21 or para 23 of the Guide. No alternative case-by-case justifications are presented.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Set out below is a description of our Sophisticated</w:t>
      </w:r>
    </w:p>
    <w:p/>
    <w:p>
      <w:pPr>
        <w:pStyle w:val="Heading2"/>
      </w:pPr>
      <w:r>
        <w:t>Module C: SII Disclosure Requirements (Para 25)</w:t>
      </w:r>
    </w:p>
    <w:p>
      <w:pPr>
        <w:spacing w:before="120"/>
      </w:pPr>
      <w:r>
        <w:rPr>
          <w:b/>
          <w:sz w:val="22"/>
        </w:rPr>
        <w:t>Rule C1</w:t>
      </w:r>
      <w:r>
        <w:t xml:space="preserve"> — Size Disclosure and Basis of Determination</w:t>
      </w:r>
      <w:r>
        <w:t xml:space="preserve">   </w:t>
      </w:r>
      <w:r>
        <w:rPr>
          <w:b/>
          <w:color w:val="1A7A3C"/>
        </w:rPr>
        <w:t>[clear]</w:t>
      </w:r>
    </w:p>
    <w:p>
      <w:pPr>
        <w:spacing w:before="0" w:after="0"/>
        <w:ind w:left="360"/>
      </w:pPr>
      <w:r>
        <w:rPr>
          <w:b/>
          <w:sz w:val="20"/>
        </w:rPr>
        <w:t xml:space="preserve">Analysis: </w:t>
      </w:r>
      <w:r>
        <w:rPr>
          <w:sz w:val="20"/>
        </w:rPr>
        <w:t>For each SII, tier2/pre_ipo_investment (pages 186-191) discloses the specific monetary amount of its AUM or investment portfolio for two reference dates. The basis of determination is also stated (e.g., 'assets under management', 'diverse investment portfolio'), satisfying the requirements of para 25.</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assets under management (“AUM”) of Northern Light Venture</w:t>
      </w:r>
    </w:p>
    <w:p>
      <w:pPr>
        <w:spacing w:before="120"/>
      </w:pPr>
      <w:r>
        <w:rPr>
          <w:b/>
          <w:sz w:val="22"/>
        </w:rPr>
        <w:t>Rule C2</w:t>
      </w:r>
      <w:r>
        <w:t xml:space="preserve"> — Reference Date (Definitive Agreement)</w:t>
      </w:r>
      <w:r>
        <w:t xml:space="preserve">   </w:t>
      </w:r>
      <w:r>
        <w:rPr>
          <w:b/>
          <w:color w:val="E67E00"/>
        </w:rPr>
        <w:t>[has_issues]</w:t>
      </w:r>
    </w:p>
    <w:p>
      <w:pPr>
        <w:spacing w:before="0" w:after="0"/>
        <w:ind w:left="360"/>
      </w:pPr>
      <w:r>
        <w:rPr>
          <w:b/>
          <w:sz w:val="20"/>
        </w:rPr>
        <w:t xml:space="preserve">Analysis: </w:t>
      </w:r>
      <w:r>
        <w:rPr>
          <w:sz w:val="20"/>
        </w:rPr>
        <w:t>The prospectus fails to provide a specific calendar reference date for the first set of sophistication figures for each SII. Instead, it uses a generic footnote describing the date as being within six months prior to the definitive agreement, which itself is not dated. This is a critical failure to comply with the specific disclosure requirement of para 25(i).</w:t>
      </w:r>
    </w:p>
    <w:p>
      <w:pPr>
        <w:ind w:left="360"/>
      </w:pPr>
      <w:r>
        <w:rPr>
          <w:b/>
          <w:sz w:val="20"/>
        </w:rPr>
        <w:t>Finding 1: Disclosure [Critical / Absent]</w:t>
      </w:r>
    </w:p>
    <w:p>
      <w:pPr>
        <w:spacing w:before="0" w:after="0"/>
        <w:ind w:left="360"/>
      </w:pPr>
      <w:r>
        <w:rPr>
          <w:b/>
          <w:sz w:val="20"/>
        </w:rPr>
        <w:t xml:space="preserve">Explanation: </w:t>
      </w:r>
      <w:r>
        <w:rPr>
          <w:sz w:val="20"/>
        </w:rPr>
        <w:t>Para 25(i) of the Guide requires sophistication information to be disclosed as of a specific reference date no more than 6 months before the signing of the definitive agreement. Footnote (1) on page 191 of tier2/pre_ipo_investment provides a generic formula ('a date not more than six months prior to the date on which the relevant investor signed the relevant definitive agreement') instead of a specific calendar date for each SII's first set of figures. This is insufficient and prevents verification of the timing requirement.</w:t>
      </w:r>
    </w:p>
    <w:p>
      <w:pPr>
        <w:spacing w:before="0" w:after="0"/>
        <w:ind w:left="360"/>
      </w:pPr>
      <w:r>
        <w:rPr>
          <w:b/>
          <w:sz w:val="20"/>
        </w:rPr>
        <w:t xml:space="preserve">Recommendation: </w:t>
      </w:r>
      <w:r>
        <w:rPr>
          <w:sz w:val="20"/>
        </w:rPr>
        <w:t>For each SII, disclose the specific calendar date (e.g., 'as of June 30, 2021') for the first set of AUM/portfolio figures provided.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being a date not more than six months prior to</w:t>
      </w:r>
    </w:p>
    <w:p>
      <w:pPr>
        <w:ind w:left="360"/>
      </w:pPr>
      <w:r>
        <w:rPr>
          <w:b/>
          <w:sz w:val="20"/>
        </w:rPr>
        <w:t>Finding 2: Language [Critical / Insufficient]</w:t>
      </w:r>
    </w:p>
    <w:p>
      <w:pPr>
        <w:spacing w:before="0" w:after="0"/>
        <w:ind w:left="360"/>
      </w:pPr>
      <w:r>
        <w:rPr>
          <w:b/>
          <w:sz w:val="20"/>
        </w:rPr>
        <w:t xml:space="preserve">Explanation: </w:t>
      </w:r>
      <w:r>
        <w:rPr>
          <w:sz w:val="20"/>
        </w:rPr>
        <w:t>The use of a generic footnote to describe the reference date for all SIIs is vague and does not meet the plain language requirement for specific, verifiable information. The dates themselves are absent, making the disclosure non-compliant with para 25(i).</w:t>
      </w:r>
    </w:p>
    <w:p>
      <w:pPr>
        <w:spacing w:before="0" w:after="0"/>
        <w:ind w:left="360"/>
      </w:pPr>
      <w:r>
        <w:rPr>
          <w:b/>
          <w:sz w:val="20"/>
        </w:rPr>
        <w:t xml:space="preserve">Recommendation: </w:t>
      </w:r>
      <w:r>
        <w:rPr>
          <w:sz w:val="20"/>
        </w:rPr>
        <w:t>Replace the generic footnote with specific dates for each SII's data in the main body of the text.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being a date not more than six months prior to</w:t>
      </w:r>
    </w:p>
    <w:p>
      <w:pPr>
        <w:spacing w:before="120"/>
      </w:pPr>
      <w:r>
        <w:rPr>
          <w:b/>
          <w:sz w:val="22"/>
        </w:rPr>
        <w:t>Rule C3</w:t>
      </w:r>
      <w:r>
        <w:t xml:space="preserve"> — Reference Date (Listing Application)</w:t>
      </w:r>
      <w:r>
        <w:t xml:space="preserve">   </w:t>
      </w:r>
      <w:r>
        <w:rPr>
          <w:b/>
          <w:color w:val="E67E00"/>
        </w:rPr>
        <w:t>[has_issues]</w:t>
      </w:r>
    </w:p>
    <w:p>
      <w:pPr>
        <w:spacing w:before="0" w:after="0"/>
        <w:ind w:left="360"/>
      </w:pPr>
      <w:r>
        <w:rPr>
          <w:b/>
          <w:sz w:val="20"/>
        </w:rPr>
        <w:t xml:space="preserve">Analysis: </w:t>
      </w:r>
      <w:r>
        <w:rPr>
          <w:sz w:val="20"/>
        </w:rPr>
        <w:t>The prospectus provides a second set of sophistication figures with specific reference dates. However, these dates (e.g., Sep 30, 2023; Dec 31, 2023) are all *after* the disclosed first listing application date of June 29, 2023. Para 25(ii) requires the reference date to be no more than 6 months *before* the listing application date. This is a critical threshold failure.</w:t>
      </w:r>
    </w:p>
    <w:p>
      <w:pPr>
        <w:ind w:left="360"/>
      </w:pPr>
      <w:r>
        <w:rPr>
          <w:b/>
          <w:sz w:val="20"/>
        </w:rPr>
        <w:t>Finding 1: Threshold [Critical / Insufficient]</w:t>
      </w:r>
    </w:p>
    <w:p>
      <w:pPr>
        <w:spacing w:before="0" w:after="0"/>
        <w:ind w:left="360"/>
      </w:pPr>
      <w:r>
        <w:rPr>
          <w:b/>
          <w:sz w:val="20"/>
        </w:rPr>
        <w:t xml:space="preserve">Explanation: </w:t>
      </w:r>
      <w:r>
        <w:rPr>
          <w:sz w:val="20"/>
        </w:rPr>
        <w:t>Para 25(ii) of the Guide requires a second set of sophistication figures as of a reference date no more than 6 months *before* the listing application date. The prospectus discloses the first listing application date as June 29, 2023 (tier2/pre_ipo_investment, page 186). However, the second reference dates provided for the SIIs (e.g., September 30, 2023 for Northern Light, December 31, 2023 for Oceanpine) are all *after* this application date. This fails to meet the timing requirement of the rule.</w:t>
      </w:r>
    </w:p>
    <w:p>
      <w:pPr>
        <w:spacing w:before="0" w:after="0"/>
        <w:ind w:left="360"/>
      </w:pPr>
      <w:r>
        <w:rPr>
          <w:b/>
          <w:sz w:val="20"/>
        </w:rPr>
        <w:t xml:space="preserve">Recommendation: </w:t>
      </w:r>
      <w:r>
        <w:rPr>
          <w:sz w:val="20"/>
        </w:rPr>
        <w:t>Provide a second set of sophistication figures for each SII as of a reference date that is no more than 6 months *prior* to the listing application date of June 29, 2023.</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approximately HK$31.19 billion as of September 30, 2023, respectively.</w:t>
      </w:r>
    </w:p>
    <w:p>
      <w:pPr>
        <w:spacing w:before="120"/>
      </w:pPr>
      <w:r>
        <w:rPr>
          <w:b/>
          <w:sz w:val="22"/>
        </w:rPr>
        <w:t>Rule C4</w:t>
      </w:r>
      <w:r>
        <w:t xml:space="preserve"> — Confidentiality Carve-Out</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invoke the confidentiality carve-out under the para 25 proviso for any of the SIIs. It attempts to provide the required disclosures for all.</w:t>
      </w:r>
    </w:p>
    <w:p/>
    <w:p>
      <w:pPr>
        <w:pStyle w:val="Heading2"/>
      </w:pPr>
      <w:r>
        <w:t>Module D: Pathfinder SII Requirements (Para 26(i))</w:t>
      </w:r>
    </w:p>
    <w:p>
      <w:pPr>
        <w:spacing w:before="120"/>
      </w:pPr>
      <w:r>
        <w:rPr>
          <w:b/>
          <w:sz w:val="22"/>
        </w:rPr>
        <w:t>Rule D1a</w:t>
      </w:r>
      <w:r>
        <w:t xml:space="preserve"> — Pathfinder SII Count</w:t>
      </w:r>
      <w:r>
        <w:t xml:space="preserve">   </w:t>
      </w:r>
      <w:r>
        <w:rPr>
          <w:b/>
          <w:color w:val="1A7A3C"/>
        </w:rPr>
        <w:t>[clear]</w:t>
      </w:r>
    </w:p>
    <w:p>
      <w:pPr>
        <w:spacing w:before="0" w:after="0"/>
        <w:ind w:left="360"/>
      </w:pPr>
      <w:r>
        <w:rPr>
          <w:b/>
          <w:sz w:val="20"/>
        </w:rPr>
        <w:t xml:space="preserve">Analysis: </w:t>
      </w:r>
      <w:r>
        <w:rPr>
          <w:sz w:val="20"/>
        </w:rPr>
        <w:t>The prospectus (tier2/pre_ipo_investment, page 195) identifies two Pathfinder SIIs: the Northern Light SIIs and the Oceanpine SIIs. This count is within the required range of 2 to 5 (PARAM_D_COUNT_MIN to PARAM_D_COUNT_MAX) as per para 26(i)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We have received investments from two Pathfinder SIIs, namely</w:t>
      </w:r>
    </w:p>
    <w:p>
      <w:pPr>
        <w:spacing w:before="120"/>
      </w:pPr>
      <w:r>
        <w:rPr>
          <w:b/>
          <w:sz w:val="22"/>
        </w:rPr>
        <w:t>Rule D1b</w:t>
      </w:r>
      <w:r>
        <w:t xml:space="preserve"> — Pathfinder SII Investment Timing</w:t>
      </w:r>
      <w:r>
        <w:t xml:space="preserve">   </w:t>
      </w:r>
      <w:r>
        <w:rPr>
          <w:b/>
          <w:color w:val="E67E00"/>
        </w:rPr>
        <w:t>[has_issues]</w:t>
      </w:r>
    </w:p>
    <w:p>
      <w:pPr>
        <w:spacing w:before="0" w:after="0"/>
        <w:ind w:left="360"/>
      </w:pPr>
      <w:r>
        <w:rPr>
          <w:b/>
          <w:sz w:val="20"/>
        </w:rPr>
        <w:t xml:space="preserve">Analysis: </w:t>
      </w:r>
      <w:r>
        <w:rPr>
          <w:sz w:val="20"/>
        </w:rPr>
        <w:t>The prospectus states that both Pathfinder SIIs invested more than 12 months before the first listing application. However, it fails to disclose the specific irrevocable settlement date for each investment, instead providing only the month and year. This is insufficient to definitively verify compliance with the 12-month holding period under para 26(i) and para 30.</w:t>
      </w:r>
    </w:p>
    <w:p>
      <w:pPr>
        <w:ind w:left="360"/>
      </w:pPr>
      <w:r>
        <w:rPr>
          <w:b/>
          <w:sz w:val="20"/>
        </w:rPr>
        <w:t>Finding 1: Language [Critical / Insufficient]</w:t>
      </w:r>
    </w:p>
    <w:p>
      <w:pPr>
        <w:spacing w:before="0" w:after="0"/>
        <w:ind w:left="360"/>
      </w:pPr>
      <w:r>
        <w:rPr>
          <w:b/>
          <w:sz w:val="20"/>
        </w:rPr>
        <w:t xml:space="preserve">Explanation: </w:t>
      </w:r>
      <w:r>
        <w:rPr>
          <w:sz w:val="20"/>
        </w:rPr>
        <w:t>Para 30 of the Guide specifies that the investment date for Pathfinder SIIs is the date of irrevocable settlement. The prospectus (tier2/history_of_group, page 176) discloses investment timing by month and year ('September 2016' for Northern Light, 'September 2020' for Oceanpine) but does not provide the specific calendar date of irrevocable settlement for each. This vague dating prevents precise verification of the 12-month holding period required by para 26(i).</w:t>
      </w:r>
    </w:p>
    <w:p>
      <w:pPr>
        <w:spacing w:before="0" w:after="0"/>
        <w:ind w:left="360"/>
      </w:pPr>
      <w:r>
        <w:rPr>
          <w:b/>
          <w:sz w:val="20"/>
        </w:rPr>
        <w:t xml:space="preserve">Recommendation: </w:t>
      </w:r>
      <w:r>
        <w:rPr>
          <w:sz w:val="20"/>
        </w:rPr>
        <w:t>For each Pathfinder SII, disclose the specific calendar date of irrevocable settlement for their qualifying investment.</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Northern Light Venture Capital (北極光創業投資), one of our</w:t>
      </w:r>
    </w:p>
    <w:p>
      <w:pPr>
        <w:spacing w:before="120"/>
      </w:pPr>
      <w:r>
        <w:rPr>
          <w:b/>
          <w:sz w:val="22"/>
        </w:rPr>
        <w:t>Rule D2</w:t>
      </w:r>
      <w:r>
        <w:t xml:space="preserve"> — Pathfinder SII Aggregate Threshold</w:t>
      </w:r>
      <w:r>
        <w:t xml:space="preserve">   </w:t>
      </w:r>
      <w:r>
        <w:rPr>
          <w:b/>
          <w:color w:val="1A7A3C"/>
        </w:rPr>
        <w:t>[clear]</w:t>
      </w:r>
    </w:p>
    <w:p>
      <w:pPr>
        <w:spacing w:before="0" w:after="0"/>
        <w:ind w:left="360"/>
      </w:pPr>
      <w:r>
        <w:rPr>
          <w:b/>
          <w:sz w:val="20"/>
        </w:rPr>
        <w:t xml:space="preserve">Analysis: </w:t>
      </w:r>
      <w:r>
        <w:rPr>
          <w:sz w:val="20"/>
        </w:rPr>
        <w:t>The prospectus discloses on page 187 of tier2/pre_ipo_investment that the Pathfinder SIIs in aggregate held approximately 17.45% of the issued share capital as of the listing application date (June 29, 2023) and 19.05% at the start of the 12-month pre-application period (June 29, 2022). Both figures exceed the 10% aggregate shareholding threshold (PARAM_D2_AGG_PCT), satisfying para 26(i)(a).</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Our Pathfinder SIIs, in aggregate, held approximately 17.45%</w:t>
      </w:r>
    </w:p>
    <w:p>
      <w:pPr>
        <w:spacing w:before="120"/>
      </w:pPr>
      <w:r>
        <w:rPr>
          <w:b/>
          <w:sz w:val="22"/>
        </w:rPr>
        <w:t>Rule D3</w:t>
      </w:r>
      <w:r>
        <w:t xml:space="preserve"> — Individual Pathfinder SII Threshold</w:t>
      </w:r>
      <w:r>
        <w:t xml:space="preserve">   </w:t>
      </w:r>
      <w:r>
        <w:rPr>
          <w:b/>
          <w:color w:val="1A7A3C"/>
        </w:rPr>
        <w:t>[clear]</w:t>
      </w:r>
    </w:p>
    <w:p>
      <w:pPr>
        <w:spacing w:before="0" w:after="0"/>
        <w:ind w:left="360"/>
      </w:pPr>
      <w:r>
        <w:rPr>
          <w:b/>
          <w:sz w:val="20"/>
        </w:rPr>
        <w:t xml:space="preserve">Analysis: </w:t>
      </w:r>
      <w:r>
        <w:rPr>
          <w:sz w:val="20"/>
        </w:rPr>
        <w:t>The prospectus discloses on pages 186-187 of tier2/pre_ipo_investment that Northern Light SIIs held 11.48% and Oceanpine SIIs held 5.97% as of the listing application date. Both holdings individually exceed the 3% threshold (PARAM_D3_IND_PCT). As there are two such Pathfinder SIIs, the requirement of para 26(i)(b) is met.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Northern Light SIIs held approximately 11.48% and 12.53%</w:t>
      </w:r>
    </w:p>
    <w:p/>
    <w:p>
      <w:pPr>
        <w:pStyle w:val="Heading2"/>
      </w:pPr>
      <w:r>
        <w:t>Module E: Aggregate SII Investment Benchmark (Para 26(ii))</w:t>
      </w:r>
    </w:p>
    <w:p>
      <w:pPr>
        <w:spacing w:before="120"/>
      </w:pPr>
      <w:r>
        <w:rPr>
          <w:b/>
          <w:sz w:val="22"/>
        </w:rPr>
        <w:t>Rule E1</w:t>
      </w:r>
      <w:r>
        <w:t xml:space="preserve"> — Aggregate SII Shareholding Benchmark</w:t>
      </w:r>
      <w:r>
        <w:t xml:space="preserve">   </w:t>
      </w:r>
      <w:r>
        <w:rPr>
          <w:b/>
          <w:color w:val="1A7A3C"/>
        </w:rPr>
        <w:t>[clear]</w:t>
      </w:r>
    </w:p>
    <w:p>
      <w:pPr>
        <w:spacing w:before="0" w:after="0"/>
        <w:ind w:left="360"/>
      </w:pPr>
      <w:r>
        <w:rPr>
          <w:b/>
          <w:sz w:val="20"/>
        </w:rPr>
        <w:t xml:space="preserve">Analysis: </w:t>
      </w:r>
      <w:r>
        <w:rPr>
          <w:sz w:val="20"/>
        </w:rPr>
        <w:t>The prospectus (tier2/pre_ipo_investment, page 195) states that at listing, all SIIs will hold, in aggregate, 'no less than 15%' of the total issued share capital, assuming a market cap over HK$15 billion. This disclosed holding meets the applicable 15% threshold for a Commercial Company in the HK$15-30bn market cap tier, satisfying para 26(ii).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At Listing, such Sophisticated Independent Investors will hold, in</w:t>
      </w:r>
    </w:p>
    <w:p>
      <w:pPr>
        <w:spacing w:before="120"/>
      </w:pPr>
      <w:r>
        <w:rPr>
          <w:b/>
          <w:sz w:val="22"/>
        </w:rPr>
        <w:t>Rule E2</w:t>
      </w:r>
      <w:r>
        <w:t xml:space="preserve"> — Threshold Tier Verification</w:t>
      </w:r>
      <w:r>
        <w:t xml:space="preserve">   </w:t>
      </w:r>
      <w:r>
        <w:rPr>
          <w:b/>
          <w:color w:val="1A7A3C"/>
        </w:rPr>
        <w:t>[clear]</w:t>
      </w:r>
    </w:p>
    <w:p>
      <w:pPr>
        <w:spacing w:before="0" w:after="0"/>
        <w:ind w:left="360"/>
      </w:pPr>
      <w:r>
        <w:rPr>
          <w:b/>
          <w:sz w:val="20"/>
        </w:rPr>
        <w:t xml:space="preserve">Analysis: </w:t>
      </w:r>
      <w:r>
        <w:rPr>
          <w:sz w:val="20"/>
        </w:rPr>
        <w:t>Based on the classification as a Commercial Company (P2) and the expected market cap tier of HK$15-30bn (P3), the applicable aggregate SII threshold is 15% (PARAM_E_COMM_MID). The prospectus correctly identifies and applies this 15% threshold on page 195 of tier2/pre_ipo_investment.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no less than 15% in the total issued share</w:t>
      </w:r>
    </w:p>
    <w:p/>
    <w:p>
      <w:pPr>
        <w:pStyle w:val="Heading2"/>
      </w:pPr>
      <w:r>
        <w:t>Module F: Convertible Securities (Paras 27–28)</w:t>
      </w:r>
    </w:p>
    <w:p>
      <w:pPr>
        <w:spacing w:before="120"/>
      </w:pPr>
      <w:r>
        <w:rPr>
          <w:b/>
          <w:sz w:val="22"/>
        </w:rPr>
        <w:t>Rule F1</w:t>
      </w:r>
      <w:r>
        <w:t xml:space="preserve"> — Conversion Requirement</w:t>
      </w:r>
      <w:r>
        <w:t xml:space="preserve">   </w:t>
      </w:r>
      <w:r>
        <w:rPr>
          <w:b/>
          <w:color w:val="1A7A3C"/>
        </w:rPr>
        <w:t>[clear]</w:t>
      </w:r>
    </w:p>
    <w:p>
      <w:pPr>
        <w:spacing w:before="0" w:after="0"/>
        <w:ind w:left="360"/>
      </w:pPr>
      <w:r>
        <w:rPr>
          <w:b/>
          <w:sz w:val="20"/>
        </w:rPr>
        <w:t xml:space="preserve">Analysis: </w:t>
      </w:r>
      <w:r>
        <w:rPr>
          <w:sz w:val="20"/>
        </w:rPr>
        <w:t>The prospectus states on page 185 of tier2/pre_ipo_investment that 'All of the Preferred Shares will be converted into Shares on a one-to-one basis immediately upon completion of the Global Offering'. This confirms that all convertible securities held by SIIs will be converted at or before listing, satisfying para 27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185</w:t>
      </w:r>
    </w:p>
    <w:p>
      <w:pPr>
        <w:spacing w:before="0" w:after="0"/>
        <w:ind w:left="360"/>
      </w:pPr>
      <w:r>
        <w:rPr>
          <w:b/>
          <w:sz w:val="20"/>
        </w:rPr>
        <w:t xml:space="preserve">Anchor: </w:t>
      </w:r>
      <w:r>
        <w:rPr>
          <w:sz w:val="20"/>
        </w:rPr>
        <w:t>All of the Preferred Shares will be converted into</w:t>
      </w:r>
    </w:p>
    <w:p>
      <w:pPr>
        <w:spacing w:before="120"/>
      </w:pPr>
      <w:r>
        <w:rPr>
          <w:b/>
          <w:sz w:val="22"/>
        </w:rPr>
        <w:t>Rule F2</w:t>
      </w:r>
      <w:r>
        <w:t xml:space="preserve"> — Convertible Securities Counting Basis</w:t>
      </w:r>
      <w:r>
        <w:t xml:space="preserve">   </w:t>
      </w:r>
      <w:r>
        <w:rPr>
          <w:b/>
          <w:color w:val="1A7A3C"/>
        </w:rPr>
        <w:t>[clear]</w:t>
      </w:r>
    </w:p>
    <w:p>
      <w:pPr>
        <w:spacing w:before="0" w:after="0"/>
        <w:ind w:left="360"/>
      </w:pPr>
      <w:r>
        <w:rPr>
          <w:b/>
          <w:sz w:val="20"/>
        </w:rPr>
        <w:t xml:space="preserve">Analysis: </w:t>
      </w:r>
      <w:r>
        <w:rPr>
          <w:sz w:val="20"/>
        </w:rPr>
        <w:t>The capitalization table in tier1/history_corporate (pages 198-204) discloses the number of shares of each series of Preferred Shares held by each Pre-IPO investor, including all SIIs. Page 185 of tier2/pre_ipo_investment confirms a one-to-one conversion. This allows for the calculation of the number of shares to be converted, satisfying para 28 of the Guide. The investment amounts are disclosed by funding round on page 181.</w:t>
      </w:r>
    </w:p>
    <w:p>
      <w:pPr>
        <w:spacing w:before="0" w:after="0"/>
        <w:ind w:left="360"/>
      </w:pPr>
      <w:r>
        <w:rPr>
          <w:b/>
          <w:sz w:val="20"/>
        </w:rPr>
        <w:t xml:space="preserve">Source: </w:t>
      </w:r>
      <w:r>
        <w:rPr>
          <w:sz w:val="20"/>
        </w:rPr>
        <w:t>tier1/history_corporate</w:t>
      </w:r>
    </w:p>
    <w:p>
      <w:pPr>
        <w:spacing w:before="0" w:after="0"/>
        <w:ind w:left="360"/>
      </w:pPr>
      <w:r>
        <w:rPr>
          <w:b/>
          <w:sz w:val="20"/>
        </w:rPr>
        <w:t xml:space="preserve">Page: </w:t>
      </w:r>
      <w:r>
        <w:rPr>
          <w:sz w:val="20"/>
        </w:rPr>
        <w:t>198</w:t>
      </w:r>
    </w:p>
    <w:p>
      <w:pPr>
        <w:spacing w:before="0" w:after="0"/>
        <w:ind w:left="360"/>
      </w:pPr>
      <w:r>
        <w:rPr>
          <w:b/>
          <w:sz w:val="20"/>
        </w:rPr>
        <w:t xml:space="preserve">Anchor: </w:t>
      </w:r>
      <w:r>
        <w:rPr>
          <w:sz w:val="20"/>
        </w:rPr>
        <w:t>CAPITALIZATION OF OUR COMPANY</w:t>
      </w:r>
    </w:p>
    <w:p/>
    <w:p>
      <w:pPr>
        <w:pStyle w:val="Heading2"/>
      </w:pPr>
      <w:r>
        <w:t>Module G: Shareholding Fluctuations (Paras 29–31)</w:t>
      </w:r>
    </w:p>
    <w:p>
      <w:pPr>
        <w:spacing w:before="120"/>
      </w:pPr>
      <w:r>
        <w:rPr>
          <w:b/>
          <w:sz w:val="22"/>
        </w:rPr>
        <w:t>Rule G1</w:t>
      </w:r>
      <w:r>
        <w:t xml:space="preserve"> — Temporary Dilution Without Top-Up</w:t>
      </w:r>
      <w:r>
        <w:t xml:space="preserve">   </w:t>
      </w:r>
      <w:r>
        <w:rPr>
          <w:b/>
          <w:color w:val="E67E00"/>
        </w:rPr>
        <w:t>[has_issues]</w:t>
      </w:r>
    </w:p>
    <w:p>
      <w:pPr>
        <w:spacing w:before="0" w:after="0"/>
        <w:ind w:left="360"/>
      </w:pPr>
      <w:r>
        <w:rPr>
          <w:b/>
          <w:sz w:val="20"/>
        </w:rPr>
        <w:t xml:space="preserve">Analysis: </w:t>
      </w:r>
      <w:r>
        <w:rPr>
          <w:sz w:val="20"/>
        </w:rPr>
        <w:t>The prospectus discloses that Pathfinder SIIs' shareholdings were diluted during the 12-month pre-application period. While the holdings at the start and end of the period remained above the thresholds, the prospectus does not disclose the 12-month average holding for each Pathfinder SII, which is a required element to rely on the temporary dilution exception under para 29(i) of the Guide.</w:t>
      </w:r>
    </w:p>
    <w:p>
      <w:pPr>
        <w:ind w:left="360"/>
      </w:pPr>
      <w:r>
        <w:rPr>
          <w:b/>
          <w:sz w:val="20"/>
        </w:rPr>
        <w:t>Finding 1: Disclosure [High / Absent]</w:t>
      </w:r>
    </w:p>
    <w:p>
      <w:pPr>
        <w:spacing w:before="0" w:after="0"/>
        <w:ind w:left="360"/>
      </w:pPr>
      <w:r>
        <w:rPr>
          <w:b/>
          <w:sz w:val="20"/>
        </w:rPr>
        <w:t xml:space="preserve">Explanation: </w:t>
      </w:r>
      <w:r>
        <w:rPr>
          <w:sz w:val="20"/>
        </w:rPr>
        <w:t>Para 29(i) of the Guide allows for temporary dilution if the shareholding meets the threshold at the listing application date AND on a 12-month average basis. While tier2/pre_ipo_investment (pages 186-187) discloses the holdings at the start and end of the 12-month period, it fails to disclose the 12-month average holding for each Pathfinder SII. This omission prevents verification of compliance with this limb of the rule.</w:t>
      </w:r>
    </w:p>
    <w:p>
      <w:pPr>
        <w:spacing w:before="0" w:after="0"/>
        <w:ind w:left="360"/>
      </w:pPr>
      <w:r>
        <w:rPr>
          <w:b/>
          <w:sz w:val="20"/>
        </w:rPr>
        <w:t xml:space="preserve">Recommendation: </w:t>
      </w:r>
      <w:r>
        <w:rPr>
          <w:sz w:val="20"/>
        </w:rPr>
        <w:t>Disclose the 12-month average shareholding percentage for each Pathfinder SII and for the Pathfinders in aggregate, and confirm that these averages also meet the applicable thresholds under para 26(i).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held approximately 17.45% and 19.05% of the total</w:t>
      </w:r>
    </w:p>
    <w:p>
      <w:pPr>
        <w:spacing w:before="120"/>
      </w:pPr>
      <w:r>
        <w:rPr>
          <w:b/>
          <w:sz w:val="22"/>
        </w:rPr>
        <w:t>Rule G2</w:t>
      </w:r>
      <w:r>
        <w:t xml:space="preserve"> — Top-Up Mechanism</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mention or rely on any top-up mechanism to cure a temporary dilution for any Pathfinder SII.</w:t>
      </w:r>
    </w:p>
    <w:p>
      <w:pPr>
        <w:spacing w:before="120"/>
      </w:pPr>
      <w:r>
        <w:rPr>
          <w:b/>
          <w:sz w:val="22"/>
        </w:rPr>
        <w:t>Rule G3</w:t>
      </w:r>
      <w:r>
        <w:t xml:space="preserve"> — Investment Date Definition</w:t>
      </w:r>
      <w:r>
        <w:t xml:space="preserve">   </w:t>
      </w:r>
      <w:r>
        <w:rPr>
          <w:b/>
          <w:color w:val="E67E00"/>
        </w:rPr>
        <w:t>[has_issues]</w:t>
      </w:r>
    </w:p>
    <w:p>
      <w:pPr>
        <w:spacing w:before="0" w:after="0"/>
        <w:ind w:left="360"/>
      </w:pPr>
      <w:r>
        <w:rPr>
          <w:b/>
          <w:sz w:val="20"/>
        </w:rPr>
        <w:t xml:space="preserve">Analysis: </w:t>
      </w:r>
      <w:r>
        <w:rPr>
          <w:sz w:val="20"/>
        </w:rPr>
        <w:t>The prospectus provides investment timing for Pathfinder SIIs by month and year, but does not state the specific date of irrevocable settlement as required by para 30 of the Guide. This is a recurring issue also flagged under D1b.</w:t>
      </w:r>
    </w:p>
    <w:p>
      <w:pPr>
        <w:ind w:left="360"/>
      </w:pPr>
      <w:r>
        <w:rPr>
          <w:b/>
          <w:sz w:val="20"/>
        </w:rPr>
        <w:t>Finding 1: Language [Medium / Insufficient]</w:t>
      </w:r>
    </w:p>
    <w:p>
      <w:pPr>
        <w:spacing w:before="0" w:after="0"/>
        <w:ind w:left="360"/>
      </w:pPr>
      <w:r>
        <w:rPr>
          <w:b/>
          <w:sz w:val="20"/>
        </w:rPr>
        <w:t xml:space="preserve">Explanation: </w:t>
      </w:r>
      <w:r>
        <w:rPr>
          <w:sz w:val="20"/>
        </w:rPr>
        <w:t>Para 30 of the Guide defines the investment date as the date of irrevocable settlement. The prospectus (tier2/history_of_group, page 176) only provides the month and year of the initial investments for Pathfinder SIIs (e.g., 'September 2016'). This lacks the required specificity and does not explicitly reference irrevocable settlement, making precise timing verification impossible.</w:t>
      </w:r>
    </w:p>
    <w:p>
      <w:pPr>
        <w:spacing w:before="0" w:after="0"/>
        <w:ind w:left="360"/>
      </w:pPr>
      <w:r>
        <w:rPr>
          <w:b/>
          <w:sz w:val="20"/>
        </w:rPr>
        <w:t xml:space="preserve">Recommendation: </w:t>
      </w:r>
      <w:r>
        <w:rPr>
          <w:sz w:val="20"/>
        </w:rPr>
        <w:t>For each Pathfinder SII, disclose the specific calendar date of irrevocable settlement for their qualifying investment, and state that this date is being used for the purposes of the 12-month holding period calculation.</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September Northern Light Venture Capital (北極光創業投資), one of</w:t>
      </w:r>
    </w:p>
    <w:p>
      <w:pPr>
        <w:spacing w:before="120"/>
      </w:pPr>
      <w:r>
        <w:rPr>
          <w:b/>
          <w:sz w:val="22"/>
        </w:rPr>
        <w:t>Rule G4</w:t>
      </w:r>
      <w:r>
        <w:t xml:space="preserve"> — Aggregation of Related Entities</w:t>
      </w:r>
      <w:r>
        <w:t xml:space="preserve">   </w:t>
      </w:r>
      <w:r>
        <w:rPr>
          <w:b/>
          <w:color w:val="1A7A3C"/>
        </w:rPr>
        <w:t>[clear]</w:t>
      </w:r>
    </w:p>
    <w:p>
      <w:pPr>
        <w:spacing w:before="0" w:after="0"/>
        <w:ind w:left="360"/>
      </w:pPr>
      <w:r>
        <w:rPr>
          <w:b/>
          <w:sz w:val="20"/>
        </w:rPr>
        <w:t xml:space="preserve">Analysis: </w:t>
      </w:r>
      <w:r>
        <w:rPr>
          <w:sz w:val="20"/>
        </w:rPr>
        <w:t>The prospectus discloses on pages 186-188 of tier2/pre_ipo_investment that holdings of different funds/entities are aggregated for Northern Light SIIs, Oceanpine SIIs, and SummitView SIIs. The basis for aggregation is that they are managed by the same fund manager, which is a valid basis under para 31 of the Guide. The relationship between the entities is described.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different shareholding entities are purely different funds managed</w:t>
      </w:r>
    </w:p>
    <w:p/>
    <w:p>
      <w:pPr>
        <w:pStyle w:val="Heading2"/>
      </w:pPr>
      <w:r>
        <w:t>Module H: Aggregate Benchmark Mechanics (Para 32)</w:t>
      </w:r>
    </w:p>
    <w:p>
      <w:pPr>
        <w:spacing w:before="120"/>
      </w:pPr>
      <w:r>
        <w:rPr>
          <w:b/>
          <w:sz w:val="22"/>
        </w:rPr>
        <w:t>Rule H1</w:t>
      </w:r>
      <w:r>
        <w:t xml:space="preserve"> — Pre-Listing and At-Listing SII Investments Combined</w:t>
      </w:r>
      <w:r>
        <w:t xml:space="preserve">   </w:t>
      </w:r>
      <w:r>
        <w:rPr>
          <w:b/>
          <w:color w:val="606060"/>
        </w:rPr>
        <w:t>[not_applicable]</w:t>
      </w:r>
    </w:p>
    <w:p>
      <w:pPr>
        <w:spacing w:before="0" w:after="0"/>
        <w:ind w:left="360"/>
      </w:pPr>
      <w:r>
        <w:rPr>
          <w:b/>
          <w:sz w:val="20"/>
        </w:rPr>
        <w:t xml:space="preserve">Analysis: </w:t>
      </w:r>
      <w:r>
        <w:rPr>
          <w:sz w:val="20"/>
        </w:rPr>
        <w:t>This rule is not applicable. A review of tier2/pre_ipo_investment and tier1/cornerstone_investors indicates that the aggregate SII benchmark is met entirely through pre-listing investments. There is no disclosure of any SIIs receiving allocations at listing as cornerstone or placing investors.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our Sophisticated Independent Investors (as identified above) held</w:t>
      </w:r>
    </w:p>
    <w:p>
      <w:pPr>
        <w:spacing w:before="120"/>
      </w:pPr>
      <w:r>
        <w:rPr>
          <w:b/>
          <w:sz w:val="22"/>
        </w:rPr>
        <w:t>Rule H2a</w:t>
      </w:r>
      <w:r>
        <w:t xml:space="preserve"> — Applicant/OC/Sponsor Undertaking for SII Placees</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state that the SII Placees mechanism under para 32(ii) of the Guide is being relied upon to meet the Aggregate Investment Benchmark.</w:t>
      </w:r>
    </w:p>
    <w:p>
      <w:pPr>
        <w:spacing w:before="120"/>
      </w:pPr>
      <w:r>
        <w:rPr>
          <w:b/>
          <w:sz w:val="22"/>
        </w:rPr>
        <w:t>Rule H2b</w:t>
      </w:r>
      <w:r>
        <w:t xml:space="preserve"> — SII Placee Sophistication</w:t>
      </w:r>
      <w:r>
        <w:t xml:space="preserve">   </w:t>
      </w:r>
      <w:r>
        <w:rPr>
          <w:b/>
          <w:color w:val="606060"/>
        </w:rPr>
        <w:t>[not_applicable]</w:t>
      </w:r>
    </w:p>
    <w:p>
      <w:pPr>
        <w:spacing w:before="0" w:after="0"/>
        <w:ind w:left="360"/>
      </w:pPr>
      <w:r>
        <w:rPr>
          <w:b/>
          <w:sz w:val="20"/>
        </w:rPr>
        <w:t xml:space="preserve">Analysis: </w:t>
      </w:r>
      <w:r>
        <w:rPr>
          <w:sz w:val="20"/>
        </w:rPr>
        <w:t>This rule is not applicable as the SII Placees mechanism is not being used.</w:t>
      </w:r>
    </w:p>
    <w:p>
      <w:pPr>
        <w:spacing w:before="120"/>
      </w:pPr>
      <w:r>
        <w:rPr>
          <w:b/>
          <w:sz w:val="22"/>
        </w:rPr>
        <w:t>Rule H2c</w:t>
      </w:r>
      <w:r>
        <w:t xml:space="preserve"> — Advance HKEX Submission for Para 21(iv) Placees</w:t>
      </w:r>
      <w:r>
        <w:t xml:space="preserve">   </w:t>
      </w:r>
      <w:r>
        <w:rPr>
          <w:b/>
          <w:color w:val="606060"/>
        </w:rPr>
        <w:t>[not_applicable]</w:t>
      </w:r>
    </w:p>
    <w:p>
      <w:pPr>
        <w:spacing w:before="0" w:after="0"/>
        <w:ind w:left="360"/>
      </w:pPr>
      <w:r>
        <w:rPr>
          <w:b/>
          <w:sz w:val="20"/>
        </w:rPr>
        <w:t xml:space="preserve">Analysis: </w:t>
      </w:r>
      <w:r>
        <w:rPr>
          <w:sz w:val="20"/>
        </w:rPr>
        <w:t>This rule is not applicable as the SII Placees mechanism is not being used.</w:t>
      </w:r>
    </w:p>
    <w:p>
      <w:pPr>
        <w:spacing w:before="120"/>
      </w:pPr>
      <w:r>
        <w:rPr>
          <w:b/>
          <w:sz w:val="22"/>
        </w:rPr>
        <w:t>Rule H3</w:t>
      </w:r>
      <w:r>
        <w:t xml:space="preserve"> — Post-Listing Allotment Results Disclosure</w:t>
      </w:r>
      <w:r>
        <w:t xml:space="preserve">   </w:t>
      </w:r>
      <w:r>
        <w:rPr>
          <w:b/>
          <w:color w:val="606060"/>
        </w:rPr>
        <w:t>[not_applicable]</w:t>
      </w:r>
    </w:p>
    <w:p>
      <w:pPr>
        <w:spacing w:before="0" w:after="0"/>
        <w:ind w:left="360"/>
      </w:pPr>
      <w:r>
        <w:rPr>
          <w:b/>
          <w:sz w:val="20"/>
        </w:rPr>
        <w:t xml:space="preserve">Analysis: </w:t>
      </w:r>
      <w:r>
        <w:rPr>
          <w:sz w:val="20"/>
        </w:rPr>
        <w:t>This rule is not applicable as the SII Placees mechanism is not being used, so no post-listing disclosure obligation regarding SII Placees arises.</w:t>
      </w:r>
    </w:p>
    <w:p/>
    <w:p>
      <w:pPr>
        <w:pStyle w:val="Heading2"/>
      </w:pPr>
      <w:r>
        <w:t>Module I: Secondary / Dual Listings (Paras 33–34)</w:t>
      </w:r>
    </w:p>
    <w:p>
      <w:pPr>
        <w:spacing w:before="120"/>
      </w:pPr>
      <w:r>
        <w:rPr>
          <w:b/>
          <w:sz w:val="22"/>
        </w:rPr>
        <w:t>Rule I1</w:t>
      </w:r>
      <w:r>
        <w:t xml:space="preserve"> — Non-Standard Compliance Disclosure</w:t>
      </w:r>
      <w:r>
        <w:t xml:space="preserve">   </w:t>
      </w:r>
      <w:r>
        <w:rPr>
          <w:b/>
          <w:color w:val="606060"/>
        </w:rPr>
        <w:t>[not_applicable]</w:t>
      </w:r>
    </w:p>
    <w:p>
      <w:pPr>
        <w:spacing w:before="0" w:after="0"/>
        <w:ind w:left="360"/>
      </w:pPr>
      <w:r>
        <w:rPr>
          <w:b/>
          <w:sz w:val="20"/>
        </w:rPr>
        <w:t xml:space="preserve">Analysis: </w:t>
      </w:r>
      <w:r>
        <w:rPr>
          <w:sz w:val="20"/>
        </w:rPr>
        <w:t>This rule is not applicable. A review of tier2/history_of_group and tier2/sii_disclosure confirms that the applicant is seeking a primary listing and is not already listed on a recognised overseas stock exchange.</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178</w:t>
      </w:r>
    </w:p>
    <w:p>
      <w:pPr>
        <w:spacing w:before="0" w:after="0"/>
        <w:ind w:left="360"/>
      </w:pPr>
      <w:r>
        <w:rPr>
          <w:b/>
          <w:sz w:val="20"/>
        </w:rPr>
        <w:t xml:space="preserve">Anchor: </w:t>
      </w:r>
      <w:r>
        <w:rPr>
          <w:sz w:val="20"/>
        </w:rPr>
        <w:t>Our Company was incorporated as an exempted company with</w:t>
      </w:r>
    </w:p>
    <w:p/>
    <w:p>
      <w:pPr>
        <w:pStyle w:val="Heading1"/>
      </w:pPr>
      <w:r>
        <w:t>Reasoning Flags</w:t>
      </w:r>
    </w:p>
    <w:p>
      <w:r>
        <w:rPr>
          <w:b/>
          <w:color w:val="1A5FA8"/>
        </w:rPr>
        <w:t>[Medium]</w:t>
      </w:r>
    </w:p>
    <w:p>
      <w:pPr>
        <w:spacing w:before="0" w:after="0"/>
        <w:ind w:left="360"/>
      </w:pPr>
      <w:r>
        <w:rPr>
          <w:b/>
          <w:sz w:val="20"/>
        </w:rPr>
        <w:t xml:space="preserve">Recommendation: </w:t>
      </w:r>
      <w:r>
        <w:rPr>
          <w:sz w:val="20"/>
        </w:rPr>
        <w:t>Verify the individual and aggregate SII shareholding percentages and ensure the figures are arithmetically consistent across all disclosures.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