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Industry-wise Distribution Table and Interpretation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Percentage (%)</w:t>
            </w:r>
          </w:p>
        </w:tc>
      </w:tr>
      <w:tr>
        <w:tc>
          <w:tcPr>
            <w:tcW w:type="dxa" w:w="4320"/>
          </w:tcPr>
          <w:p>
            <w:r>
              <w:t>FMCG</w:t>
            </w:r>
          </w:p>
        </w:tc>
        <w:tc>
          <w:tcPr>
            <w:tcW w:type="dxa" w:w="4320"/>
          </w:tcPr>
          <w:p>
            <w:r>
              <w:t>13.2%</w:t>
            </w:r>
          </w:p>
        </w:tc>
      </w:tr>
      <w:tr>
        <w:tc>
          <w:tcPr>
            <w:tcW w:type="dxa" w:w="4320"/>
          </w:tcPr>
          <w:p>
            <w:r>
              <w:t>Textiles Industry</w:t>
            </w:r>
          </w:p>
        </w:tc>
        <w:tc>
          <w:tcPr>
            <w:tcW w:type="dxa" w:w="4320"/>
          </w:tcPr>
          <w:p>
            <w:r>
              <w:t>39.5%</w:t>
            </w:r>
          </w:p>
        </w:tc>
      </w:tr>
      <w:tr>
        <w:tc>
          <w:tcPr>
            <w:tcW w:type="dxa" w:w="4320"/>
          </w:tcPr>
          <w:p>
            <w:r>
              <w:t>Consumer Household Goods Industry</w:t>
            </w:r>
          </w:p>
        </w:tc>
        <w:tc>
          <w:tcPr>
            <w:tcW w:type="dxa" w:w="4320"/>
          </w:tcPr>
          <w:p>
            <w:r>
              <w:t>18.4%</w:t>
            </w:r>
          </w:p>
        </w:tc>
      </w:tr>
      <w:tr>
        <w:tc>
          <w:tcPr>
            <w:tcW w:type="dxa" w:w="4320"/>
          </w:tcPr>
          <w:p>
            <w:r>
              <w:t>Solar Power Industry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Toy Industry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Weapons Industry</w:t>
            </w:r>
          </w:p>
        </w:tc>
        <w:tc>
          <w:tcPr>
            <w:tcW w:type="dxa" w:w="4320"/>
          </w:tcPr>
          <w:p>
            <w:r>
              <w:t>3%</w:t>
            </w:r>
          </w:p>
        </w:tc>
      </w:tr>
      <w:tr>
        <w:tc>
          <w:tcPr>
            <w:tcW w:type="dxa" w:w="4320"/>
          </w:tcPr>
          <w:p>
            <w:r>
              <w:t>Ceramics Industry</w:t>
            </w:r>
          </w:p>
        </w:tc>
        <w:tc>
          <w:tcPr>
            <w:tcW w:type="dxa" w:w="4320"/>
          </w:tcPr>
          <w:p>
            <w:r>
              <w:t>15.8%</w:t>
            </w:r>
          </w:p>
        </w:tc>
      </w:tr>
      <w:tr>
        <w:tc>
          <w:tcPr>
            <w:tcW w:type="dxa" w:w="4320"/>
          </w:tcPr>
          <w:p>
            <w:r>
              <w:t>Cotton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  <w:tr>
        <w:tc>
          <w:tcPr>
            <w:tcW w:type="dxa" w:w="4320"/>
          </w:tcPr>
          <w:p>
            <w:r>
              <w:t>Ceramic Industry (duplicate category)</w:t>
            </w:r>
          </w:p>
        </w:tc>
        <w:tc>
          <w:tcPr>
            <w:tcW w:type="dxa" w:w="4320"/>
          </w:tcPr>
          <w:p>
            <w:r>
              <w:t>1%</w:t>
            </w:r>
          </w:p>
        </w:tc>
      </w:tr>
    </w:tbl>
    <w:p>
      <w:pPr>
        <w:pStyle w:val="Heading2"/>
      </w:pPr>
      <w:r>
        <w:t>Interpretation</w:t>
      </w:r>
    </w:p>
    <w:p>
      <w:r>
        <w:t>The chart shows that the textiles industry dominates demand with 39.5%, making it the primary client segment for La Bell Print Pack. Consumer household goods form 18.4% of the market, showing strong and consistent packaging requirements. Ceramics represent 15.8%, which is significant due to the region’s industrial base. FMCG contributes 13.2%, indicating a promising sector with potential for expansion. Smaller sectors such as solar power, toy, weapons, and cotton together form less than 10% but reflect diversified demand. Overall, La Bell Print Pack serves a wide range of industries, with strong opportunities for growth especially in FMCG and household goods.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