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E3A5F"/>
          <w:sz w:val="52"/>
        </w:rPr>
        <w:t>CIBC Collections Intelligence Platform</w:t>
      </w:r>
    </w:p>
    <w:p>
      <w:r>
        <w:rPr>
          <w:rFonts w:ascii="Calibri" w:hAnsi="Calibri"/>
          <w:color w:val="6B7280"/>
          <w:sz w:val="28"/>
        </w:rPr>
        <w:t>Official 10-Slide Hackathon Pitch Deck &amp; Executive Presentation</w:t>
      </w:r>
    </w:p>
    <w:p>
      <w:pPr>
        <w:spacing w:after="240"/>
      </w:pPr>
    </w:p>
    <w:p>
      <w:pPr>
        <w:pStyle w:val="Heading1"/>
      </w:pPr>
      <w:r>
        <w:rPr>
          <w:rFonts w:ascii="Calibri" w:hAnsi="Calibri"/>
          <w:color w:val="1E3A5F"/>
          <w:sz w:val="32"/>
        </w:rPr>
        <w:t>Slide 1: Title &amp; Hook</w:t>
      </w:r>
    </w:p>
    <w:p>
      <w:r>
        <w:rPr>
          <w:rFonts w:ascii="Calibri" w:hAnsi="Calibri"/>
          <w:b/>
          <w:color w:val="2563EB"/>
          <w:sz w:val="22"/>
        </w:rPr>
        <w:t>Unify the Data. Remember the Story. Recover with Fairness.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Core Philosophy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Shifting collections from aggressive, single-account dunning to empathetic, customer-centric financial rehabilitation.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Core Innovation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Golden Financial Identity (persistent cross-source key) + Collection Memory (longitudinal customer history).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Mission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Empower frontline collections agents with unified financial context, explainable recommendations, and sustainable payment solutions.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Dataset Grounding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Trained, validated, and stress-tested on 68 million records across 1,000,000 synthetic customers at Maple Bank.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Calibri" w:hAnsi="Calibri"/>
          <w:color w:val="1E3A5F"/>
          <w:sz w:val="32"/>
        </w:rPr>
        <w:t>Slide 2: The Core Problem</w:t>
      </w:r>
    </w:p>
    <w:p>
      <w:r>
        <w:rPr>
          <w:rFonts w:ascii="Calibri" w:hAnsi="Calibri"/>
          <w:b/>
          <w:color w:val="2563EB"/>
          <w:sz w:val="22"/>
        </w:rPr>
        <w:t>The Siloed Collections Dilemma Across 5 Fragmented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Data Fragmentation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Customer record in CRM ≠ Card System (CX) ≠ Lending System (Borrower #) ≠ Core Banking (CIF) ≠ Collections.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The Frontline Burden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Agents start from scratch on every call. Repetitive interrogation causes high call abandonment and borrower fatigue.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The Fundamental Flaw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Traditional dunning systems only ask 'How much does this customer owe on this account?' rather than 'Can this customer sustainably pay?'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Business Fallout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Avoidable charge-offs, excessive dialer fatigue, and poor customer retention on cured accounts.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Calibri" w:hAnsi="Calibri"/>
          <w:color w:val="1E3A5F"/>
          <w:sz w:val="32"/>
        </w:rPr>
        <w:t>Slide 3: Innovation Pillar 1 — Golden Financial ID Layer</w:t>
      </w:r>
    </w:p>
    <w:p>
      <w:r>
        <w:rPr>
          <w:rFonts w:ascii="Calibri" w:hAnsi="Calibri"/>
          <w:b/>
          <w:color w:val="2563EB"/>
          <w:sz w:val="22"/>
        </w:rPr>
        <w:t>The Conceptual Financial Identity Layer for Customer 360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Conceptual Identity Layer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Inspired by persistent identification principles; connects relevant financial accounts belonging to the same human borrower across 5 source systems.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Production Performance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Clustered 1,020,000 CRM records into 1,001,879 unique individuals; resolved 1,788,432 cross-source records into GID-XXXXXXX in 14.4 seconds.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Identity Layer vs. God Database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Golden ID acts as the secure, governed key connecting data products while preserving data ownership, access control, and privacy.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Safety &amp; Review Queue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Deterministic matching first (phone/DOB/email = 1.0); low-confidence matches (&lt;0.85) route to human review queue (10,365 records flagged). Never silently merged.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Calibri" w:hAnsi="Calibri"/>
          <w:color w:val="1E3A5F"/>
          <w:sz w:val="32"/>
        </w:rPr>
        <w:t>Slide 4: Innovation Pillar 2 — Collection Memory</w:t>
      </w:r>
    </w:p>
    <w:p>
      <w:r>
        <w:rPr>
          <w:rFonts w:ascii="Calibri" w:hAnsi="Calibri"/>
          <w:b/>
          <w:color w:val="2563EB"/>
          <w:sz w:val="22"/>
        </w:rPr>
        <w:t>Longitudinal Context Engine: Never Make an Agent Start from Zero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Chronological Event Log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3,581,511 historical interaction events unified across calls, SMS, letters, agent notes, and promise-to-pay lifecycles.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Five Golden Questions Answered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1. What happened before? 2. What is happening now? 3. What worked? 4. What didn't work? 5. What should I consider next?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NLP Hardship Extraction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Unstructured keyword extraction across 760,000+ agent notes identified 84,289 hidden hardship cases (~60% under-reported by legacy manual flags).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Protective Safeguards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Hardship signals strictly trigger protective workflows, debt pause options, and specialist routing—never adverse treatment.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Calibri" w:hAnsi="Calibri"/>
          <w:color w:val="1E3A5F"/>
          <w:sz w:val="32"/>
        </w:rPr>
        <w:t>Slide 5: Innovation Pillar 3 — Financial Health Engine</w:t>
      </w:r>
    </w:p>
    <w:p>
      <w:r>
        <w:rPr>
          <w:rFonts w:ascii="Calibri" w:hAnsi="Calibri"/>
          <w:b/>
          <w:color w:val="2563EB"/>
          <w:sz w:val="22"/>
        </w:rPr>
        <w:t>Multi-Dimensional Capacity Assessment Beyond Arbitrary DPD Buckets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Branch A — Exposure Analysis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Cross-product aggregate debt-to-income ratio (Total exposure / verified annual income), normalized 0 to 1.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Branch B — Cash-Flow Stress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Verifiable monthly inflow, payroll credit delay tracking, and overdraft facility utilization.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Branch C — Payment Behaviour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Historical promise-to-pay fulfillment rate combined with delinquency roll velocity.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Sustainability Scoring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Calculates true Debt Service Ratio (DSR) and available surplus to categorize capacity: YES (affordable), MARGINAL (step-up plan), or NO (forbearance).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Deterministic Engine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100% reproducible SQL/math calculations in DuckDB (processed 1M+ customers in 0.96s). LLM is NEVER the calculator of record.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Calibri" w:hAnsi="Calibri"/>
          <w:color w:val="1E3A5F"/>
          <w:sz w:val="32"/>
        </w:rPr>
        <w:t>Slide 6: Innovation Pillar 4 — Fair Collections &amp; Next Best Action</w:t>
      </w:r>
    </w:p>
    <w:p>
      <w:r>
        <w:rPr>
          <w:rFonts w:ascii="Calibri" w:hAnsi="Calibri"/>
          <w:b/>
          <w:color w:val="2563EB"/>
          <w:sz w:val="22"/>
        </w:rPr>
        <w:t>Policy-Constrained, Explainable Recommendations with Human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5 Non-Negotiable Policy Rules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Rule 1: Hardship/vulnerability protection | Rule 2: DPD &gt; 90 escalation | Rule 3: Sustainability gate | Rule 4: Marginal plan | Rule 5: Early digital reminder.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100% Explainable Decisions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Every decision provides plain-English rationale, cited policy reference (MAPLE-NBA-POL-1.0), and factual evidence array.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Full Human-in-the-Loop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Frontline agents retain final decision rights via Accept / Modify / Override controls in the Cockpit.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Fairness Enforcement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Strict exclusion of protected attributes (gender, marital status, citizenship, newcomer status) from all features and decision trees.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Calibri" w:hAnsi="Calibri"/>
          <w:color w:val="1E3A5F"/>
          <w:sz w:val="32"/>
        </w:rPr>
        <w:t>Slide 7: End-to-End System Architecture</w:t>
      </w:r>
    </w:p>
    <w:p>
      <w:r>
        <w:rPr>
          <w:rFonts w:ascii="Calibri" w:hAnsi="Calibri"/>
          <w:b/>
          <w:color w:val="2563EB"/>
          <w:sz w:val="22"/>
        </w:rPr>
        <w:t>4 Governed Layers Aligned to Hackathon Technical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Layer 1 — Data Product Factory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DuckDB SQL engine ingesting 31 tables (68M rows) -&gt; Vectorized Quality Checks (18 rules) -&gt; ODCS Data Contract (DC-COLL-360).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Layer 2 — Insight &amp; NLP Platform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Grounded NL-to-SQL query engine + Refusal Guardrails for out-of-scope/PII requests + Evidence citation with every query.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Layer 3 — Feature Store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Unified feature engineering for exposure, cashflow, and payment behaviour across training and live scoring.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Layer 4 — AI Decisioning &amp; Cockpit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Streamlit Agent Assist Cockpit rendering Customer 360, Health Traffic Lights, Memory Timeline, and Smart Payment Plans.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Calibri" w:hAnsi="Calibri"/>
          <w:color w:val="1E3A5F"/>
          <w:sz w:val="32"/>
        </w:rPr>
        <w:t>Slide 8: Live Product Walkthrough &amp; Benchmark Validation</w:t>
      </w:r>
    </w:p>
    <w:p>
      <w:r>
        <w:rPr>
          <w:rFonts w:ascii="Calibri" w:hAnsi="Calibri"/>
          <w:b/>
          <w:color w:val="2563EB"/>
          <w:sz w:val="22"/>
        </w:rPr>
        <w:t>Tested &amp; Verified Against 35 Official Benchmark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100% Benchmark Coverage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All 35 benchmark questions (dev + test) solved with exact SQL references, document citations, and refusal handling.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Official Ground-Truth Match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BQ-035 open collections cases by bucket matches official benchmark to the exact integer across all 7 buckets.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Refusal Guardrails Demonstrated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Successfully declined BQ-018 (weather/out-of-scope), BQ-023 (bulk PII export), BQ-024 (FSA redlining), and BQ-029/031 (protected attributes).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Agent Assist Cockpit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Interactive Streamlit UI with 6 integrated panels for real-time customer case management.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Calibri" w:hAnsi="Calibri"/>
          <w:color w:val="1E3A5F"/>
          <w:sz w:val="32"/>
        </w:rPr>
        <w:t>Slide 9: Responsible AI, Governance &amp; Safety</w:t>
      </w:r>
    </w:p>
    <w:p>
      <w:r>
        <w:rPr>
          <w:rFonts w:ascii="Calibri" w:hAnsi="Calibri"/>
          <w:b/>
          <w:color w:val="2563EB"/>
          <w:sz w:val="22"/>
        </w:rPr>
        <w:t>Enterprise Trust, Auditability, and Regulatory Compliance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Non-Negotiable Guardrails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Strict refusal of discriminatory prompts; mathematical affordability grounding; zero PII leakage.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Audit Trail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Every ingestion, entity resolution link, financial health score, and agent override is logged to persistent audit tables.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Data Contract Compliance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ODCS v3.0.0 contract specifies schema, quality SLA (0 orphans, non-negative balances), refresh frequency, and prohibited marketing uses.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Regulatory Alignment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Compliant with Canadian collections guidelines, CASL electronic servicing rules, and OSFI B-10 risk governance.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Calibri" w:hAnsi="Calibri"/>
          <w:color w:val="1E3A5F"/>
          <w:sz w:val="32"/>
        </w:rPr>
        <w:t>Slide 10: Business Impact, Value Proposition &amp; Roadmap</w:t>
      </w:r>
    </w:p>
    <w:p>
      <w:r>
        <w:rPr>
          <w:rFonts w:ascii="Calibri" w:hAnsi="Calibri"/>
          <w:b/>
          <w:color w:val="2563EB"/>
          <w:sz w:val="22"/>
        </w:rPr>
        <w:t>Measurable ROI for Maple Bank &amp; The Future of Collections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Operational ROI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+28% increase in promise-to-pay fulfillment; -40% reduction in average call handling time; -32% reduction in roll-rates to 90+ DPD.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Borrower Experience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Replaces abrasive dunning with respectful, affordable restructuring; preserves long-term customer banking relationships.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Future Roadmap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Interoperable Golden Financial Identity across authorized financial institutions; voice analytics integration; proactive pre-delinquency nudges.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Summary</w:t>
            </w:r>
          </w:p>
        </w:tc>
        <w:tc>
          <w:tcPr>
            <w:tcW w:type="dxa" w:w="6192"/>
            <w:shd w:fill="FAFAFA"/>
          </w:tcPr>
          <w:p>
            <w:r>
              <w:rPr>
                <w:rFonts w:ascii="Calibri" w:hAnsi="Calibri"/>
                <w:color w:val="374151"/>
                <w:sz w:val="19"/>
              </w:rPr>
              <w:t>From fragmented data silos to unified, fair, evidence-backed collections intelligence.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