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w:t>
      </w:r>
    </w:p>
    <w:p>
      <w:pPr>
        <w:spacing w:after="300"/>
        <w:jc w:val="center"/>
      </w:pPr>
      <w:r>
        <w:rPr>
          <w:b/>
          <w:bCs/>
          <w:sz w:val="28"/>
          <w:szCs w:val="28"/>
        </w:rPr>
        <w:t xml:space="preserve">Problem – Solution Fit Template</w:t>
      </w:r>
    </w:p>
    <w:p>
      <w:pPr>
        <w:spacing w:after="120"/>
      </w:pPr>
      <w:r>
        <w:rPr>
          <w:b/>
          <w:bCs/>
          <w:sz w:val="22"/>
          <w:szCs w:val="22"/>
        </w:rPr>
        <w:t xml:space="preserve">Problem – Solution Fit Template:</w:t>
      </w:r>
    </w:p>
    <w:p>
      <w:pPr>
        <w:spacing w:after="200"/>
      </w:pPr>
      <w:r>
        <w:rPr>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pPr>
      <w:r>
        <w:rPr>
          <w:b/>
          <w:bCs/>
          <w:sz w:val="22"/>
          <w:szCs w:val="22"/>
        </w:rPr>
        <w:t xml:space="preserve">Purpose:</w:t>
      </w:r>
    </w:p>
    <w:p>
      <w:pPr>
        <w:pStyle w:val="ListParagraph"/>
        <w:numPr>
          <w:ilvl w:val="0"/>
          <w:numId w:val="1"/>
        </w:numPr>
        <w:spacing w:after="80"/>
      </w:pPr>
      <w:r>
        <w:rPr>
          <w:b w:val="false"/>
          <w:bCs w:val="false"/>
          <w:sz w:val="22"/>
          <w:szCs w:val="22"/>
        </w:rPr>
        <w:t xml:space="preserve">Solve complex problems in a way that fits the state of your customers.</w:t>
      </w:r>
    </w:p>
    <w:p>
      <w:pPr>
        <w:pStyle w:val="ListParagraph"/>
        <w:numPr>
          <w:ilvl w:val="0"/>
          <w:numId w:val="1"/>
        </w:numPr>
        <w:spacing w:after="80"/>
      </w:pPr>
      <w:r>
        <w:rPr>
          <w:b w:val="false"/>
          <w:bCs w:val="false"/>
          <w:sz w:val="22"/>
          <w:szCs w:val="22"/>
        </w:rPr>
        <w:t xml:space="preserve">Succeed faster and increase your solution adoption by tapping into existing mediums and channels of behavior.</w:t>
      </w:r>
    </w:p>
    <w:p>
      <w:pPr>
        <w:pStyle w:val="ListParagraph"/>
        <w:numPr>
          <w:ilvl w:val="0"/>
          <w:numId w:val="1"/>
        </w:numPr>
        <w:spacing w:after="80"/>
      </w:pPr>
      <w:r>
        <w:rPr>
          <w:b w:val="false"/>
          <w:bCs w:val="false"/>
          <w:sz w:val="22"/>
          <w:szCs w:val="22"/>
        </w:rPr>
        <w:t xml:space="preserve">Sharpen your communication and marketing strategy with the right triggers and messaging.</w:t>
      </w:r>
    </w:p>
    <w:p>
      <w:pPr>
        <w:pStyle w:val="ListParagraph"/>
        <w:numPr>
          <w:ilvl w:val="0"/>
          <w:numId w:val="1"/>
        </w:numPr>
        <w:spacing w:after="80"/>
      </w:pPr>
      <w:r>
        <w:rPr>
          <w:b w:val="false"/>
          <w:bCs w:val="false"/>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1"/>
        </w:numPr>
        <w:spacing w:after="80"/>
      </w:pPr>
      <w:r>
        <w:rPr>
          <w:b/>
          <w:bCs/>
          <w:sz w:val="22"/>
          <w:szCs w:val="22"/>
        </w:rPr>
        <w:t xml:space="preserve">Understand the existing situation in order to improve it for your target group.</w:t>
      </w:r>
    </w:p>
    <w:p>
      <w:pPr>
        <w:spacing w:after="150" w:before="300"/>
      </w:pPr>
      <w:r>
        <w:rPr>
          <w:b/>
          <w:bCs/>
          <w:sz w:val="24"/>
          <w:szCs w:val="24"/>
        </w:rPr>
        <w:t xml:space="preserve">Problem – Solution Fit Canvas: WasteGuide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gridSpan w:val="1"/>
            <w:shd w:fill="FFFFFF" w:val="clear"/>
            <w:tcMar>
              <w:top w:type="dxa" w:w="80"/>
              <w:left w:type="dxa" w:w="100"/>
              <w:bottom w:type="dxa" w:w="80"/>
              <w:right w:type="dxa" w:w="100"/>
            </w:tcMar>
          </w:tcPr>
          <w:p>
            <w:pPr>
              <w:shd w:fill="EC4899" w:val="clear"/>
            </w:pPr>
            <w:r>
              <w:rPr>
                <w:b/>
                <w:bCs/>
                <w:color w:val="FFFFFF"/>
                <w:sz w:val="18"/>
                <w:szCs w:val="18"/>
              </w:rPr>
              <w:t xml:space="preserve">1. CUSTOMER SEGMENT(S)</w:t>
            </w:r>
          </w:p>
          <w:p>
            <w:pPr>
              <w:spacing w:before="60"/>
            </w:pPr>
            <w:r>
              <w:rPr>
                <w:sz w:val="18"/>
                <w:szCs w:val="18"/>
              </w:rPr>
              <w:t xml:space="preserve">Urban citizens, households, students, RWAs and municipal waste-management staff in smart cities who need quick guidance on identifying and disposing of everyday and hazardous waste items.</w:t>
            </w:r>
          </w:p>
        </w:tc>
        <w:tc>
          <w:tcPr>
            <w:tcW w:type="dxa" w:w="3120"/>
            <w:gridSpan w:val="1"/>
            <w:shd w:fill="FFFFFF" w:val="clear"/>
            <w:tcMar>
              <w:top w:type="dxa" w:w="80"/>
              <w:left w:type="dxa" w:w="100"/>
              <w:bottom w:type="dxa" w:w="80"/>
              <w:right w:type="dxa" w:w="100"/>
            </w:tcMar>
          </w:tcPr>
          <w:p>
            <w:pPr>
              <w:shd w:fill="EC4899" w:val="clear"/>
            </w:pPr>
            <w:r>
              <w:rPr>
                <w:b/>
                <w:bCs/>
                <w:color w:val="FFFFFF"/>
                <w:sz w:val="18"/>
                <w:szCs w:val="18"/>
              </w:rPr>
              <w:t xml:space="preserve">6. CUSTOMER CONSTRAINTS</w:t>
            </w:r>
          </w:p>
          <w:p>
            <w:pPr>
              <w:spacing w:before="60"/>
            </w:pPr>
            <w:r>
              <w:rPr>
                <w:sz w:val="18"/>
                <w:szCs w:val="18"/>
              </w:rPr>
              <w:t xml:space="preserve">Low awareness of recycling rules, no easy way to identify hazardous/e-waste, inconsistent access to nearby recycling centers, limited time, and reliance on manual, scattered searching.</w:t>
            </w:r>
          </w:p>
        </w:tc>
        <w:tc>
          <w:tcPr>
            <w:tcW w:type="dxa" w:w="3120"/>
            <w:gridSpan w:val="1"/>
            <w:shd w:fill="FFFFFF" w:val="clear"/>
            <w:tcMar>
              <w:top w:type="dxa" w:w="80"/>
              <w:left w:type="dxa" w:w="100"/>
              <w:bottom w:type="dxa" w:w="80"/>
              <w:right w:type="dxa" w:w="100"/>
            </w:tcMar>
          </w:tcPr>
          <w:p>
            <w:pPr>
              <w:shd w:fill="EC4899" w:val="clear"/>
            </w:pPr>
            <w:r>
              <w:rPr>
                <w:b/>
                <w:bCs/>
                <w:color w:val="FFFFFF"/>
                <w:sz w:val="18"/>
                <w:szCs w:val="18"/>
              </w:rPr>
              <w:t xml:space="preserve">5. AVAILABLE SOLUTIONS</w:t>
            </w:r>
          </w:p>
          <w:p>
            <w:pPr>
              <w:spacing w:before="60"/>
            </w:pPr>
            <w:r>
              <w:rPr>
                <w:sz w:val="18"/>
                <w:szCs w:val="18"/>
              </w:rPr>
              <w:t xml:space="preserve">Municipal pamphlets, government recycling websites, generic search engines, and static waste-sorting apps — none combine real-time AI classification with center mapping and analytics.</w:t>
            </w:r>
          </w:p>
        </w:tc>
      </w:tr>
      <w:tr>
        <w:tc>
          <w:tcPr>
            <w:tcW w:type="dxa" w:w="3120"/>
            <w:gridSpan w:val="1"/>
            <w:shd w:fill="FFFFFF" w:val="clear"/>
            <w:tcMar>
              <w:top w:type="dxa" w:w="80"/>
              <w:left w:type="dxa" w:w="100"/>
              <w:bottom w:type="dxa" w:w="80"/>
              <w:right w:type="dxa" w:w="100"/>
            </w:tcMar>
          </w:tcPr>
          <w:p>
            <w:pPr>
              <w:shd w:fill="F97316" w:val="clear"/>
            </w:pPr>
            <w:r>
              <w:rPr>
                <w:b/>
                <w:bCs/>
                <w:color w:val="FFFFFF"/>
                <w:sz w:val="18"/>
                <w:szCs w:val="18"/>
              </w:rPr>
              <w:t xml:space="preserve">2. JOBS-TO-BE-DONE / PROBLEMS</w:t>
            </w:r>
          </w:p>
          <w:p>
            <w:pPr>
              <w:spacing w:before="60"/>
            </w:pPr>
            <w:r>
              <w:rPr>
                <w:sz w:val="18"/>
                <w:szCs w:val="18"/>
              </w:rPr>
              <w:t xml:space="preserve">Citizens need to quickly identify what category a waste item belongs to, learn safe disposal/recycling steps, and locate the nearest appropriate collection center.</w:t>
            </w:r>
          </w:p>
        </w:tc>
        <w:tc>
          <w:tcPr>
            <w:tcW w:type="dxa" w:w="3120"/>
            <w:gridSpan w:val="1"/>
            <w:shd w:fill="FFFFFF" w:val="clear"/>
            <w:tcMar>
              <w:top w:type="dxa" w:w="80"/>
              <w:left w:type="dxa" w:w="100"/>
              <w:bottom w:type="dxa" w:w="80"/>
              <w:right w:type="dxa" w:w="100"/>
            </w:tcMar>
          </w:tcPr>
          <w:p>
            <w:pPr>
              <w:shd w:fill="F97316" w:val="clear"/>
            </w:pPr>
            <w:r>
              <w:rPr>
                <w:b/>
                <w:bCs/>
                <w:color w:val="FFFFFF"/>
                <w:sz w:val="18"/>
                <w:szCs w:val="18"/>
              </w:rPr>
              <w:t xml:space="preserve">9. PROBLEM ROOT CAUSE</w:t>
            </w:r>
          </w:p>
          <w:p>
            <w:pPr>
              <w:spacing w:before="60"/>
            </w:pPr>
            <w:r>
              <w:rPr>
                <w:sz w:val="18"/>
                <w:szCs w:val="18"/>
              </w:rPr>
              <w:t xml:space="preserve">Lack of a centralized, AI-powered, easy-to-use tool that combines waste classification, disposal guidance and location-based services, leading to improper disposal and growing hazardous/e-waste in landfills.</w:t>
            </w:r>
          </w:p>
        </w:tc>
        <w:tc>
          <w:tcPr>
            <w:tcW w:type="dxa" w:w="3120"/>
            <w:gridSpan w:val="1"/>
            <w:shd w:fill="FFFFFF" w:val="clear"/>
            <w:tcMar>
              <w:top w:type="dxa" w:w="80"/>
              <w:left w:type="dxa" w:w="100"/>
              <w:bottom w:type="dxa" w:w="80"/>
              <w:right w:type="dxa" w:w="100"/>
            </w:tcMar>
          </w:tcPr>
          <w:p>
            <w:pPr>
              <w:shd w:fill="F97316" w:val="clear"/>
            </w:pPr>
            <w:r>
              <w:rPr>
                <w:b/>
                <w:bCs/>
                <w:color w:val="FFFFFF"/>
                <w:sz w:val="18"/>
                <w:szCs w:val="18"/>
              </w:rPr>
              <w:t xml:space="preserve">7. BEHAVIOUR</w:t>
            </w:r>
          </w:p>
          <w:p>
            <w:pPr>
              <w:spacing w:before="60"/>
            </w:pPr>
            <w:r>
              <w:rPr>
                <w:sz w:val="18"/>
                <w:szCs w:val="18"/>
              </w:rPr>
              <w:t xml:space="preserve">Users currently discard items without checking, ask others, or search the internet for generic disposal information — a slow and often inaccurate process.</w:t>
            </w:r>
          </w:p>
        </w:tc>
      </w:tr>
      <w:tr>
        <w:tc>
          <w:tcPr>
            <w:tcW w:type="dxa" w:w="3120"/>
            <w:gridSpan w:val="1"/>
            <w:shd w:fill="FFFFFF" w:val="clear"/>
            <w:tcMar>
              <w:top w:type="dxa" w:w="80"/>
              <w:left w:type="dxa" w:w="100"/>
              <w:bottom w:type="dxa" w:w="80"/>
              <w:right w:type="dxa" w:w="100"/>
            </w:tcMar>
          </w:tcPr>
          <w:p>
            <w:pPr>
              <w:shd w:fill="0D9488" w:val="clear"/>
            </w:pPr>
            <w:r>
              <w:rPr>
                <w:b/>
                <w:bCs/>
                <w:color w:val="FFFFFF"/>
                <w:sz w:val="18"/>
                <w:szCs w:val="18"/>
              </w:rPr>
              <w:t xml:space="preserve">3. TRIGGERS</w:t>
            </w:r>
          </w:p>
          <w:p>
            <w:pPr>
              <w:spacing w:before="60"/>
            </w:pPr>
            <w:r>
              <w:rPr>
                <w:sz w:val="18"/>
                <w:szCs w:val="18"/>
              </w:rPr>
              <w:t xml:space="preserve">Encountering an unfamiliar or hazardous item (e.g., battery, e-waste), municipal notices about waste segregation rules, or a personal desire to track recycling habits.</w:t>
            </w:r>
          </w:p>
        </w:tc>
        <w:tc>
          <w:tcPr>
            <w:tcW w:type="dxa" w:w="3120"/>
            <w:gridSpan w:val="1"/>
            <w:shd w:fill="FFFFFF" w:val="clear"/>
            <w:tcMar>
              <w:top w:type="dxa" w:w="80"/>
              <w:left w:type="dxa" w:w="100"/>
              <w:bottom w:type="dxa" w:w="80"/>
              <w:right w:type="dxa" w:w="100"/>
            </w:tcMar>
          </w:tcPr>
          <w:p>
            <w:pPr>
              <w:shd w:fill="7C3AED" w:val="clear"/>
            </w:pPr>
            <w:r>
              <w:rPr>
                <w:b/>
                <w:bCs/>
                <w:color w:val="FFFFFF"/>
                <w:sz w:val="18"/>
                <w:szCs w:val="18"/>
              </w:rPr>
              <w:t xml:space="preserve">10. YOUR SOLUTION</w:t>
            </w:r>
          </w:p>
          <w:p>
            <w:pPr>
              <w:spacing w:before="60"/>
            </w:pPr>
            <w:r>
              <w:rPr>
                <w:sz w:val="18"/>
                <w:szCs w:val="18"/>
              </w:rPr>
              <w:t xml:space="preserve">WasteGuide AI — a full-stack web app using Groq's LLaMA 3.3-70B model to instantly classify waste items, provide disposal/recycling steps, hazard warnings and eco-suggestions, while visualizing personal statistics and mapping nearby waste centers via Leaflet/OpenStreetMap.</w:t>
            </w:r>
          </w:p>
        </w:tc>
        <w:tc>
          <w:tcPr>
            <w:tcW w:type="dxa" w:w="3120"/>
            <w:gridSpan w:val="1"/>
            <w:shd w:fill="FFFFFF" w:val="clear"/>
            <w:tcMar>
              <w:top w:type="dxa" w:w="80"/>
              <w:left w:type="dxa" w:w="100"/>
              <w:bottom w:type="dxa" w:w="80"/>
              <w:right w:type="dxa" w:w="100"/>
            </w:tcMar>
          </w:tcPr>
          <w:p>
            <w:pPr>
              <w:shd w:fill="0D9488" w:val="clear"/>
            </w:pPr>
            <w:r>
              <w:rPr>
                <w:b/>
                <w:bCs/>
                <w:color w:val="FFFFFF"/>
                <w:sz w:val="18"/>
                <w:szCs w:val="18"/>
              </w:rPr>
              <w:t xml:space="preserve">8. CHANNELS of BEHAVIOUR</w:t>
            </w:r>
          </w:p>
          <w:p>
            <w:pPr>
              <w:spacing w:before="60"/>
            </w:pPr>
            <w:r>
              <w:rPr>
                <w:sz w:val="18"/>
                <w:szCs w:val="18"/>
              </w:rPr>
              <w:t xml:space="preserve">8.1 ONLINE: React + Vite web app — search/scan feature, dashboard analytics, history.
8.2 OFFLINE: Physical visits to recycling/collection centers located through the in-app map.</w:t>
            </w:r>
          </w:p>
        </w:tc>
      </w:tr>
      <w:tr>
        <w:tc>
          <w:tcPr>
            <w:tcW w:type="dxa" w:w="9360"/>
            <w:gridSpan w:val="3"/>
            <w:shd w:fill="FFFFFF" w:val="clear"/>
            <w:tcMar>
              <w:top w:type="dxa" w:w="80"/>
              <w:left w:type="dxa" w:w="100"/>
              <w:bottom w:type="dxa" w:w="80"/>
              <w:right w:type="dxa" w:w="100"/>
            </w:tcMar>
          </w:tcPr>
          <w:p>
            <w:pPr>
              <w:shd w:fill="0D9488" w:val="clear"/>
            </w:pPr>
            <w:r>
              <w:rPr>
                <w:b/>
                <w:bCs/>
                <w:color w:val="FFFFFF"/>
                <w:sz w:val="18"/>
                <w:szCs w:val="18"/>
              </w:rPr>
              <w:t xml:space="preserve">4. EMOTIONS: BEFORE / AFTER</w:t>
            </w:r>
          </w:p>
          <w:p>
            <w:pPr>
              <w:spacing w:before="60"/>
            </w:pPr>
            <w:r>
              <w:rPr>
                <w:sz w:val="18"/>
                <w:szCs w:val="18"/>
              </w:rPr>
              <w:t xml:space="preserve">Before: confusion, uncertainty, guilt about improper disposal. After: confidence, clarity, and a sense of contributing to environmental sustainability.</w:t>
            </w:r>
          </w:p>
        </w:tc>
      </w:tr>
    </w:tbl>
    <w:p>
      <w:pPr>
        <w:spacing w:before="300"/>
      </w:pPr>
      <w:r>
        <w:rPr>
          <w:b/>
          <w:bCs/>
          <w:sz w:val="22"/>
          <w:szCs w:val="22"/>
        </w:rPr>
        <w:t xml:space="preserve">References:</w:t>
      </w:r>
    </w:p>
    <w:p>
      <w:pPr>
        <w:spacing w:before="100"/>
      </w:pPr>
      <w:r>
        <w:rPr>
          <w:sz w:val="22"/>
          <w:szCs w:val="22"/>
        </w:rPr>
        <w:t xml:space="preserve">1. </w:t>
      </w:r>
      <w:hyperlink w:history="1" r:id="rIdi1qfuko1u7jfikzecuhp0">
        <w:r>
          <w:rPr>
            <w:rStyle w:val="Hyperlink"/>
            <w:sz w:val="22"/>
            <w:szCs w:val="22"/>
          </w:rPr>
          <w:t xml:space="preserve">https://www.ideahackers.network/problem-solution-fit-canvas/</w:t>
        </w:r>
      </w:hyperlink>
    </w:p>
    <w:p>
      <w:r>
        <w:rPr>
          <w:sz w:val="22"/>
          <w:szCs w:val="22"/>
        </w:rPr>
        <w:t xml:space="preserve">2. </w:t>
      </w:r>
      <w:hyperlink w:history="1" r:id="rIdc9_jnvh-5ymqss1jltnyl">
        <w:r>
          <w:rPr>
            <w:rStyle w:val="Hyperlink"/>
            <w:sz w:val="22"/>
            <w:szCs w:val="22"/>
          </w:rPr>
          <w:t xml:space="preserve">https://medium.com/@epicantus/problem-solution-fit-canvas-aa3dd59cb4fe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1qfuko1u7jfikzecuhp0" Type="http://schemas.openxmlformats.org/officeDocument/2006/relationships/hyperlink" Target="https://www.ideahackers.network/problem-solution-fit-canvas/" TargetMode="External"/><Relationship Id="rIdc9_jnvh-5ymqss1jltnyl"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2026-07-19T17:14:29.913Z</dcterms:created>
  <dcterms:modified xsi:type="dcterms:W3CDTF">2026-07-19T17:14:29.923Z</dcterms:modified>
</cp:coreProperties>
</file>

<file path=docProps/custom.xml><?xml version="1.0" encoding="utf-8"?>
<Properties xmlns="http://schemas.openxmlformats.org/officeDocument/2006/custom-properties" xmlns:vt="http://schemas.openxmlformats.org/officeDocument/2006/docPropsVTypes"/>
</file>