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A4B"/>
          <w:sz w:val="22"/>
          <w:szCs w:val="22"/>
        </w:rPr>
        <w:t xml:space="preserve">Ideation Phase</w:t>
      </w:r>
    </w:p>
    <w:p>
      <w:pPr>
        <w:spacing w:after="40"/>
        <w:jc w:val="center"/>
      </w:pPr>
      <w:r>
        <w:rPr>
          <w:rFonts w:ascii="Calibri" w:cs="Calibri" w:eastAsia="Calibri" w:hAnsi="Calibri"/>
          <w:b/>
          <w:bCs/>
          <w:color w:val="2D6A4F"/>
          <w:sz w:val="32"/>
          <w:szCs w:val="32"/>
        </w:rPr>
        <w:t xml:space="preserve">Define the Problem Statements — Municipal &amp; Smart-City Persona</w:t>
      </w:r>
    </w:p>
    <w:p>
      <w:pPr>
        <w:spacing w:after="300"/>
        <w:jc w:val="center"/>
      </w:pPr>
      <w:r>
        <w:rPr>
          <w:rFonts w:ascii="Calibri" w:cs="Calibri" w:eastAsia="Calibri" w:hAnsi="Calibri"/>
          <w:i/>
          <w:iCs/>
          <w:color w:val="5A5A5A"/>
          <w:sz w:val="22"/>
          <w:szCs w:val="22"/>
        </w:rPr>
        <w:t xml:space="preserve">WasteGuide AI — Sustainable Waste Management Assistant</w:t>
      </w:r>
    </w:p>
    <w:p>
      <w:pPr>
        <w:spacing w:after="160"/>
      </w:pPr>
      <w:r>
        <w:rPr>
          <w:rFonts w:ascii="Calibri" w:cs="Calibri" w:eastAsia="Calibri" w:hAnsi="Calibri"/>
          <w:sz w:val="22"/>
          <w:szCs w:val="22"/>
        </w:rPr>
        <w:t xml:space="preserve">A well-articulated customer problem statement allows the team to find the ideal solution for the challenges customers face. Throughout this process, the team empathizes with the people affected, which helps in understanding how they perceive the product or service being designed.</w:t>
      </w:r>
    </w:p>
    <w:p>
      <w:pPr>
        <w:spacing w:after="160"/>
      </w:pPr>
      <w:r>
        <w:rPr>
          <w:rFonts w:ascii="Calibri" w:cs="Calibri" w:eastAsia="Calibri" w:hAnsi="Calibri"/>
          <w:sz w:val="22"/>
          <w:szCs w:val="22"/>
        </w:rPr>
        <w:t xml:space="preserve">This second set of problem statements is written from the perspective of municipal staff and sustainability officers responsible for city-wide waste outcomes.</w:t>
      </w:r>
    </w:p>
    <w:p>
      <w:pPr>
        <w:pStyle w:val="Heading1"/>
        <w:spacing w:after="140" w:before="280"/>
      </w:pPr>
      <w:r>
        <w:rPr>
          <w:rFonts w:ascii="Calibri" w:cs="Calibri" w:eastAsia="Calibri" w:hAnsi="Calibri"/>
          <w:b/>
          <w:bCs/>
          <w:color w:val="2D6A4F"/>
          <w:sz w:val="26"/>
          <w:szCs w:val="26"/>
        </w:rPr>
        <w:t xml:space="preserve">Customer Problem Statements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550"/>
        <w:gridCol w:w="1550"/>
        <w:gridCol w:w="1450"/>
        <w:gridCol w:w="1900"/>
        <w:gridCol w:w="2000"/>
      </w:tblGrid>
      <w:tr>
        <w:tc>
          <w:tcPr>
            <w:tcW w:type="dxa" w:w="900"/>
            <w:tcBorders>
              <w:top w:val="single" w:color="B9C7B4" w:sz="4"/>
              <w:left w:val="single" w:color="B9C7B4" w:sz="4"/>
              <w:bottom w:val="single" w:color="B9C7B4" w:sz="4"/>
              <w:right w:val="single" w:color="B9C7B4" w:sz="4"/>
            </w:tcBorders>
            <w:shd w:fill="2D6A4F" w:val="clear"/>
            <w:vAlign w:val="center"/>
          </w:tcPr>
          <w:p>
            <w:r>
              <w:rPr>
                <w:rFonts w:ascii="Calibri" w:cs="Calibri" w:eastAsia="Calibri" w:hAnsi="Calibri"/>
                <w:b/>
                <w:bCs/>
                <w:color w:val="FFFFFF"/>
                <w:sz w:val="20"/>
                <w:szCs w:val="20"/>
              </w:rPr>
              <w:t xml:space="preserve">PS</w:t>
            </w:r>
          </w:p>
        </w:tc>
        <w:tc>
          <w:tcPr>
            <w:tcW w:type="dxa" w:w="1550"/>
            <w:tcBorders>
              <w:top w:val="single" w:color="B9C7B4" w:sz="4"/>
              <w:left w:val="single" w:color="B9C7B4" w:sz="4"/>
              <w:bottom w:val="single" w:color="B9C7B4" w:sz="4"/>
              <w:right w:val="single" w:color="B9C7B4" w:sz="4"/>
            </w:tcBorders>
            <w:shd w:fill="2D6A4F" w:val="clear"/>
            <w:vAlign w:val="center"/>
          </w:tcPr>
          <w:p>
            <w:r>
              <w:rPr>
                <w:rFonts w:ascii="Calibri" w:cs="Calibri" w:eastAsia="Calibri" w:hAnsi="Calibri"/>
                <w:b/>
                <w:bCs/>
                <w:color w:val="FFFFFF"/>
                <w:sz w:val="20"/>
                <w:szCs w:val="20"/>
              </w:rPr>
              <w:t xml:space="preserve">I am (Customer)</w:t>
            </w:r>
          </w:p>
        </w:tc>
        <w:tc>
          <w:tcPr>
            <w:tcW w:type="dxa" w:w="1550"/>
            <w:tcBorders>
              <w:top w:val="single" w:color="B9C7B4" w:sz="4"/>
              <w:left w:val="single" w:color="B9C7B4" w:sz="4"/>
              <w:bottom w:val="single" w:color="B9C7B4" w:sz="4"/>
              <w:right w:val="single" w:color="B9C7B4" w:sz="4"/>
            </w:tcBorders>
            <w:shd w:fill="2D6A4F" w:val="clear"/>
            <w:vAlign w:val="center"/>
          </w:tcPr>
          <w:p>
            <w:r>
              <w:rPr>
                <w:rFonts w:ascii="Calibri" w:cs="Calibri" w:eastAsia="Calibri" w:hAnsi="Calibri"/>
                <w:b/>
                <w:bCs/>
                <w:color w:val="FFFFFF"/>
                <w:sz w:val="20"/>
                <w:szCs w:val="20"/>
              </w:rPr>
              <w:t xml:space="preserve">Trying to</w:t>
            </w:r>
          </w:p>
        </w:tc>
        <w:tc>
          <w:tcPr>
            <w:tcW w:type="dxa" w:w="1450"/>
            <w:tcBorders>
              <w:top w:val="single" w:color="B9C7B4" w:sz="4"/>
              <w:left w:val="single" w:color="B9C7B4" w:sz="4"/>
              <w:bottom w:val="single" w:color="B9C7B4" w:sz="4"/>
              <w:right w:val="single" w:color="B9C7B4" w:sz="4"/>
            </w:tcBorders>
            <w:shd w:fill="2D6A4F" w:val="clear"/>
            <w:vAlign w:val="center"/>
          </w:tcPr>
          <w:p>
            <w:r>
              <w:rPr>
                <w:rFonts w:ascii="Calibri" w:cs="Calibri" w:eastAsia="Calibri" w:hAnsi="Calibri"/>
                <w:b/>
                <w:bCs/>
                <w:color w:val="FFFFFF"/>
                <w:sz w:val="20"/>
                <w:szCs w:val="20"/>
              </w:rPr>
              <w:t xml:space="preserve">But</w:t>
            </w:r>
          </w:p>
        </w:tc>
        <w:tc>
          <w:tcPr>
            <w:tcW w:type="dxa" w:w="1900"/>
            <w:tcBorders>
              <w:top w:val="single" w:color="B9C7B4" w:sz="4"/>
              <w:left w:val="single" w:color="B9C7B4" w:sz="4"/>
              <w:bottom w:val="single" w:color="B9C7B4" w:sz="4"/>
              <w:right w:val="single" w:color="B9C7B4" w:sz="4"/>
            </w:tcBorders>
            <w:shd w:fill="2D6A4F" w:val="clear"/>
            <w:vAlign w:val="center"/>
          </w:tcPr>
          <w:p>
            <w:r>
              <w:rPr>
                <w:rFonts w:ascii="Calibri" w:cs="Calibri" w:eastAsia="Calibri" w:hAnsi="Calibri"/>
                <w:b/>
                <w:bCs/>
                <w:color w:val="FFFFFF"/>
                <w:sz w:val="20"/>
                <w:szCs w:val="20"/>
              </w:rPr>
              <w:t xml:space="preserve">Because</w:t>
            </w:r>
          </w:p>
        </w:tc>
        <w:tc>
          <w:tcPr>
            <w:tcW w:type="dxa" w:w="2000"/>
            <w:tcBorders>
              <w:top w:val="single" w:color="B9C7B4" w:sz="4"/>
              <w:left w:val="single" w:color="B9C7B4" w:sz="4"/>
              <w:bottom w:val="single" w:color="B9C7B4" w:sz="4"/>
              <w:right w:val="single" w:color="B9C7B4" w:sz="4"/>
            </w:tcBorders>
            <w:shd w:fill="2D6A4F" w:val="clear"/>
            <w:vAlign w:val="center"/>
          </w:tcPr>
          <w:p>
            <w:r>
              <w:rPr>
                <w:rFonts w:ascii="Calibri" w:cs="Calibri" w:eastAsia="Calibri" w:hAnsi="Calibri"/>
                <w:b/>
                <w:bCs/>
                <w:color w:val="FFFFFF"/>
                <w:sz w:val="20"/>
                <w:szCs w:val="20"/>
              </w:rPr>
              <w:t xml:space="preserve">Which makes me feel</w:t>
            </w:r>
          </w:p>
        </w:tc>
      </w:tr>
      <w:tr>
        <w:tc>
          <w:tcPr>
            <w:tcW w:type="dxa" w:w="900"/>
            <w:tcBorders>
              <w:top w:val="single" w:color="B9C7B4" w:sz="4"/>
              <w:left w:val="single" w:color="B9C7B4" w:sz="4"/>
              <w:bottom w:val="single" w:color="B9C7B4" w:sz="4"/>
              <w:right w:val="single" w:color="B9C7B4" w:sz="4"/>
            </w:tcBorders>
            <w:tcMar>
              <w:top w:type="dxa" w:w="100"/>
              <w:left w:type="dxa" w:w="120"/>
              <w:bottom w:type="dxa" w:w="100"/>
              <w:right w:type="dxa" w:w="120"/>
            </w:tcMar>
            <w:vAlign w:val="center"/>
          </w:tcPr>
          <w:p>
            <w:r>
              <w:rPr>
                <w:rFonts w:ascii="Calibri" w:cs="Calibri" w:eastAsia="Calibri" w:hAnsi="Calibri"/>
                <w:sz w:val="20"/>
                <w:szCs w:val="20"/>
              </w:rPr>
              <w:t xml:space="preserve">PS-1</w:t>
            </w:r>
          </w:p>
        </w:tc>
        <w:tc>
          <w:tcPr>
            <w:tcW w:type="dxa" w:w="1550"/>
            <w:tcBorders>
              <w:top w:val="single" w:color="B9C7B4" w:sz="4"/>
              <w:left w:val="single" w:color="B9C7B4" w:sz="4"/>
              <w:bottom w:val="single" w:color="B9C7B4" w:sz="4"/>
              <w:right w:val="single" w:color="B9C7B4" w:sz="4"/>
            </w:tcBorders>
            <w:tcMar>
              <w:top w:type="dxa" w:w="100"/>
              <w:left w:type="dxa" w:w="120"/>
              <w:bottom w:type="dxa" w:w="100"/>
              <w:right w:type="dxa" w:w="120"/>
            </w:tcMar>
            <w:vAlign w:val="center"/>
          </w:tcPr>
          <w:p>
            <w:r>
              <w:rPr>
                <w:rFonts w:ascii="Calibri" w:cs="Calibri" w:eastAsia="Calibri" w:hAnsi="Calibri"/>
                <w:sz w:val="20"/>
                <w:szCs w:val="20"/>
              </w:rPr>
              <w:t xml:space="preserve">a municipal waste management coordinator</w:t>
            </w:r>
          </w:p>
        </w:tc>
        <w:tc>
          <w:tcPr>
            <w:tcW w:type="dxa" w:w="1550"/>
            <w:tcBorders>
              <w:top w:val="single" w:color="B9C7B4" w:sz="4"/>
              <w:left w:val="single" w:color="B9C7B4" w:sz="4"/>
              <w:bottom w:val="single" w:color="B9C7B4" w:sz="4"/>
              <w:right w:val="single" w:color="B9C7B4" w:sz="4"/>
            </w:tcBorders>
            <w:tcMar>
              <w:top w:type="dxa" w:w="100"/>
              <w:left w:type="dxa" w:w="120"/>
              <w:bottom w:type="dxa" w:w="100"/>
              <w:right w:type="dxa" w:w="120"/>
            </w:tcMar>
            <w:vAlign w:val="center"/>
          </w:tcPr>
          <w:p>
            <w:r>
              <w:rPr>
                <w:rFonts w:ascii="Calibri" w:cs="Calibri" w:eastAsia="Calibri" w:hAnsi="Calibri"/>
                <w:sz w:val="20"/>
                <w:szCs w:val="20"/>
              </w:rPr>
              <w:t xml:space="preserve">reduce contamination in the recycling streams collected from the city</w:t>
            </w:r>
          </w:p>
        </w:tc>
        <w:tc>
          <w:tcPr>
            <w:tcW w:type="dxa" w:w="1450"/>
            <w:tcBorders>
              <w:top w:val="single" w:color="B9C7B4" w:sz="4"/>
              <w:left w:val="single" w:color="B9C7B4" w:sz="4"/>
              <w:bottom w:val="single" w:color="B9C7B4" w:sz="4"/>
              <w:right w:val="single" w:color="B9C7B4" w:sz="4"/>
            </w:tcBorders>
            <w:tcMar>
              <w:top w:type="dxa" w:w="100"/>
              <w:left w:type="dxa" w:w="120"/>
              <w:bottom w:type="dxa" w:w="100"/>
              <w:right w:type="dxa" w:w="120"/>
            </w:tcMar>
            <w:vAlign w:val="center"/>
          </w:tcPr>
          <w:p>
            <w:r>
              <w:rPr>
                <w:rFonts w:ascii="Calibri" w:cs="Calibri" w:eastAsia="Calibri" w:hAnsi="Calibri"/>
                <w:sz w:val="20"/>
                <w:szCs w:val="20"/>
              </w:rPr>
              <w:t xml:space="preserve">residents frequently mix hazardous, organic, and recyclable waste together</w:t>
            </w:r>
          </w:p>
        </w:tc>
        <w:tc>
          <w:tcPr>
            <w:tcW w:type="dxa" w:w="1900"/>
            <w:tcBorders>
              <w:top w:val="single" w:color="B9C7B4" w:sz="4"/>
              <w:left w:val="single" w:color="B9C7B4" w:sz="4"/>
              <w:bottom w:val="single" w:color="B9C7B4" w:sz="4"/>
              <w:right w:val="single" w:color="B9C7B4" w:sz="4"/>
            </w:tcBorders>
            <w:tcMar>
              <w:top w:type="dxa" w:w="100"/>
              <w:left w:type="dxa" w:w="120"/>
              <w:bottom w:type="dxa" w:w="100"/>
              <w:right w:type="dxa" w:w="120"/>
            </w:tcMar>
            <w:vAlign w:val="center"/>
          </w:tcPr>
          <w:p>
            <w:r>
              <w:rPr>
                <w:rFonts w:ascii="Calibri" w:cs="Calibri" w:eastAsia="Calibri" w:hAnsi="Calibri"/>
                <w:sz w:val="20"/>
                <w:szCs w:val="20"/>
              </w:rPr>
              <w:t xml:space="preserve">there is no easy, always-available public tool teaching correct sorting at the moment of disposal</w:t>
            </w:r>
          </w:p>
        </w:tc>
        <w:tc>
          <w:tcPr>
            <w:tcW w:type="dxa" w:w="2000"/>
            <w:tcBorders>
              <w:top w:val="single" w:color="B9C7B4" w:sz="4"/>
              <w:left w:val="single" w:color="B9C7B4" w:sz="4"/>
              <w:bottom w:val="single" w:color="B9C7B4" w:sz="4"/>
              <w:right w:val="single" w:color="B9C7B4" w:sz="4"/>
            </w:tcBorders>
            <w:tcMar>
              <w:top w:type="dxa" w:w="100"/>
              <w:left w:type="dxa" w:w="120"/>
              <w:bottom w:type="dxa" w:w="100"/>
              <w:right w:type="dxa" w:w="120"/>
            </w:tcMar>
            <w:vAlign w:val="center"/>
          </w:tcPr>
          <w:p>
            <w:r>
              <w:rPr>
                <w:rFonts w:ascii="Calibri" w:cs="Calibri" w:eastAsia="Calibri" w:hAnsi="Calibri"/>
                <w:sz w:val="20"/>
                <w:szCs w:val="20"/>
              </w:rPr>
              <w:t xml:space="preserve">overwhelmed by preventable sorting errors that keep reaching collection centers</w:t>
            </w:r>
          </w:p>
        </w:tc>
      </w:tr>
      <w:tr>
        <w:tc>
          <w:tcPr>
            <w:tcW w:type="dxa" w:w="900"/>
            <w:tcBorders>
              <w:top w:val="single" w:color="B9C7B4" w:sz="4"/>
              <w:left w:val="single" w:color="B9C7B4" w:sz="4"/>
              <w:bottom w:val="single" w:color="B9C7B4" w:sz="4"/>
              <w:right w:val="single" w:color="B9C7B4" w:sz="4"/>
            </w:tcBorders>
            <w:shd w:fill="EAF2ED" w:val="clear"/>
            <w:tcMar>
              <w:top w:type="dxa" w:w="100"/>
              <w:left w:type="dxa" w:w="120"/>
              <w:bottom w:type="dxa" w:w="100"/>
              <w:right w:type="dxa" w:w="120"/>
            </w:tcMar>
            <w:vAlign w:val="center"/>
          </w:tcPr>
          <w:p>
            <w:r>
              <w:rPr>
                <w:rFonts w:ascii="Calibri" w:cs="Calibri" w:eastAsia="Calibri" w:hAnsi="Calibri"/>
                <w:sz w:val="20"/>
                <w:szCs w:val="20"/>
              </w:rPr>
              <w:t xml:space="preserve">PS-2</w:t>
            </w:r>
          </w:p>
        </w:tc>
        <w:tc>
          <w:tcPr>
            <w:tcW w:type="dxa" w:w="1550"/>
            <w:tcBorders>
              <w:top w:val="single" w:color="B9C7B4" w:sz="4"/>
              <w:left w:val="single" w:color="B9C7B4" w:sz="4"/>
              <w:bottom w:val="single" w:color="B9C7B4" w:sz="4"/>
              <w:right w:val="single" w:color="B9C7B4" w:sz="4"/>
            </w:tcBorders>
            <w:shd w:fill="EAF2ED" w:val="clear"/>
            <w:tcMar>
              <w:top w:type="dxa" w:w="100"/>
              <w:left w:type="dxa" w:w="120"/>
              <w:bottom w:type="dxa" w:w="100"/>
              <w:right w:type="dxa" w:w="120"/>
            </w:tcMar>
            <w:vAlign w:val="center"/>
          </w:tcPr>
          <w:p>
            <w:r>
              <w:rPr>
                <w:rFonts w:ascii="Calibri" w:cs="Calibri" w:eastAsia="Calibri" w:hAnsi="Calibri"/>
                <w:sz w:val="20"/>
                <w:szCs w:val="20"/>
              </w:rPr>
              <w:t xml:space="preserve">a local sustainability officer</w:t>
            </w:r>
          </w:p>
        </w:tc>
        <w:tc>
          <w:tcPr>
            <w:tcW w:type="dxa" w:w="1550"/>
            <w:tcBorders>
              <w:top w:val="single" w:color="B9C7B4" w:sz="4"/>
              <w:left w:val="single" w:color="B9C7B4" w:sz="4"/>
              <w:bottom w:val="single" w:color="B9C7B4" w:sz="4"/>
              <w:right w:val="single" w:color="B9C7B4" w:sz="4"/>
            </w:tcBorders>
            <w:shd w:fill="EAF2ED" w:val="clear"/>
            <w:tcMar>
              <w:top w:type="dxa" w:w="100"/>
              <w:left w:type="dxa" w:w="120"/>
              <w:bottom w:type="dxa" w:w="100"/>
              <w:right w:type="dxa" w:w="120"/>
            </w:tcMar>
            <w:vAlign w:val="center"/>
          </w:tcPr>
          <w:p>
            <w:r>
              <w:rPr>
                <w:rFonts w:ascii="Calibri" w:cs="Calibri" w:eastAsia="Calibri" w:hAnsi="Calibri"/>
                <w:sz w:val="20"/>
                <w:szCs w:val="20"/>
              </w:rPr>
              <w:t xml:space="preserve">track how effectively residents are participating in recycling initiatives</w:t>
            </w:r>
          </w:p>
        </w:tc>
        <w:tc>
          <w:tcPr>
            <w:tcW w:type="dxa" w:w="1450"/>
            <w:tcBorders>
              <w:top w:val="single" w:color="B9C7B4" w:sz="4"/>
              <w:left w:val="single" w:color="B9C7B4" w:sz="4"/>
              <w:bottom w:val="single" w:color="B9C7B4" w:sz="4"/>
              <w:right w:val="single" w:color="B9C7B4" w:sz="4"/>
            </w:tcBorders>
            <w:shd w:fill="EAF2ED" w:val="clear"/>
            <w:tcMar>
              <w:top w:type="dxa" w:w="100"/>
              <w:left w:type="dxa" w:w="120"/>
              <w:bottom w:type="dxa" w:w="100"/>
              <w:right w:type="dxa" w:w="120"/>
            </w:tcMar>
            <w:vAlign w:val="center"/>
          </w:tcPr>
          <w:p>
            <w:r>
              <w:rPr>
                <w:rFonts w:ascii="Calibri" w:cs="Calibri" w:eastAsia="Calibri" w:hAnsi="Calibri"/>
                <w:sz w:val="20"/>
                <w:szCs w:val="20"/>
              </w:rPr>
              <w:t xml:space="preserve">I have no visibility into resident-level disposal behavior or collection-center utilization</w:t>
            </w:r>
          </w:p>
        </w:tc>
        <w:tc>
          <w:tcPr>
            <w:tcW w:type="dxa" w:w="1900"/>
            <w:tcBorders>
              <w:top w:val="single" w:color="B9C7B4" w:sz="4"/>
              <w:left w:val="single" w:color="B9C7B4" w:sz="4"/>
              <w:bottom w:val="single" w:color="B9C7B4" w:sz="4"/>
              <w:right w:val="single" w:color="B9C7B4" w:sz="4"/>
            </w:tcBorders>
            <w:shd w:fill="EAF2ED" w:val="clear"/>
            <w:tcMar>
              <w:top w:type="dxa" w:w="100"/>
              <w:left w:type="dxa" w:w="120"/>
              <w:bottom w:type="dxa" w:w="100"/>
              <w:right w:type="dxa" w:w="120"/>
            </w:tcMar>
            <w:vAlign w:val="center"/>
          </w:tcPr>
          <w:p>
            <w:r>
              <w:rPr>
                <w:rFonts w:ascii="Calibri" w:cs="Calibri" w:eastAsia="Calibri" w:hAnsi="Calibri"/>
                <w:sz w:val="20"/>
                <w:szCs w:val="20"/>
              </w:rPr>
              <w:t xml:space="preserve">there is no centralized digital system connecting citizens' everyday actions to city-wide data</w:t>
            </w:r>
          </w:p>
        </w:tc>
        <w:tc>
          <w:tcPr>
            <w:tcW w:type="dxa" w:w="2000"/>
            <w:tcBorders>
              <w:top w:val="single" w:color="B9C7B4" w:sz="4"/>
              <w:left w:val="single" w:color="B9C7B4" w:sz="4"/>
              <w:bottom w:val="single" w:color="B9C7B4" w:sz="4"/>
              <w:right w:val="single" w:color="B9C7B4" w:sz="4"/>
            </w:tcBorders>
            <w:shd w:fill="EAF2ED" w:val="clear"/>
            <w:tcMar>
              <w:top w:type="dxa" w:w="100"/>
              <w:left w:type="dxa" w:w="120"/>
              <w:bottom w:type="dxa" w:w="100"/>
              <w:right w:type="dxa" w:w="120"/>
            </w:tcMar>
            <w:vAlign w:val="center"/>
          </w:tcPr>
          <w:p>
            <w:r>
              <w:rPr>
                <w:rFonts w:ascii="Calibri" w:cs="Calibri" w:eastAsia="Calibri" w:hAnsi="Calibri"/>
                <w:sz w:val="20"/>
                <w:szCs w:val="20"/>
              </w:rPr>
              <w:t xml:space="preserve">unable to measure or improve our smart-city waste management programs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2026-07-19T16:37:34.050Z</dcterms:created>
  <dcterms:modified xsi:type="dcterms:W3CDTF">2026-07-19T16:37:34.050Z</dcterms:modified>
</cp:coreProperties>
</file>

<file path=docProps/custom.xml><?xml version="1.0" encoding="utf-8"?>
<Properties xmlns="http://schemas.openxmlformats.org/officeDocument/2006/custom-properties" xmlns:vt="http://schemas.openxmlformats.org/officeDocument/2006/docPropsVTypes"/>
</file>