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Literature Survey</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A literature survey for the Aadhar analysis would involve researching and reviewing previous studies, articles, and reports on the topic. This could include information on the methods and techniques used for analyzing Aadhar Analysis, as well as the results and conclusions of these studies. We recommend exploring academic databases such as PubMed, IEEE Xplore, Google Scholar, and institutional repositories.Additionally, government reports and publications can provide insights into the latest developments in Aadhar analysis.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1. Demographic Trends and Enrollment Patterns  </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Research by UIDAI and Government Reports: Various reports by UIDAI provide  comprehensive data on demographic trends and enrollment patterns, which  highlight the coverage and reach of the Aadhar system across different states  and regions in India.  </w:t>
      </w:r>
    </w:p>
    <w:p w:rsidR="00000000" w:rsidDel="00000000" w:rsidP="00000000" w:rsidRDefault="00000000" w:rsidRPr="00000000" w14:paraId="00000008">
      <w:pPr>
        <w:rPr>
          <w:sz w:val="24"/>
          <w:szCs w:val="24"/>
        </w:rPr>
      </w:pPr>
      <w:r w:rsidDel="00000000" w:rsidR="00000000" w:rsidRPr="00000000">
        <w:rPr>
          <w:sz w:val="24"/>
          <w:szCs w:val="24"/>
          <w:rtl w:val="0"/>
        </w:rPr>
        <w:t xml:space="preserve">● Scholarly Articles: Studies such as those by Banerjee and Raju (2016) explore  the demographic distribution of Aadhar holders, focusing on age, gender, and  regional disparities.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8"/>
          <w:szCs w:val="28"/>
          <w:rtl w:val="0"/>
        </w:rPr>
        <w:t xml:space="preserve"> 2. Authentication Behaviors and Effectiveness </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 Case Studies: Research conducted by institutions like NIPFP (National Institute  of Public Finance and Policy) analyze the effectiveness of Aadhar authentication  in reducing identity fraud and enhancing the delivery of public services.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 Journal Articles: Articles in journals like the "Journal of Public Affairs" detail the  impact of Aadhar on improving access to government services, highlighting  success stories and areas needing improvement.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Business Intelligence and Data Visualization </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 a. Title:</w:t>
      </w:r>
      <w:r w:rsidDel="00000000" w:rsidR="00000000" w:rsidRPr="00000000">
        <w:rPr>
          <w:sz w:val="24"/>
          <w:szCs w:val="24"/>
          <w:rtl w:val="0"/>
        </w:rPr>
        <w:t xml:space="preserve"> "Effective Dashboard Design: A Literature Review and Framework"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Authors:</w:t>
      </w:r>
      <w:r w:rsidDel="00000000" w:rsidR="00000000" w:rsidRPr="00000000">
        <w:rPr>
          <w:sz w:val="24"/>
          <w:szCs w:val="24"/>
          <w:rtl w:val="0"/>
        </w:rPr>
        <w:t xml:space="preserve"> Few, S.  </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Publication: </w:t>
      </w:r>
      <w:r w:rsidDel="00000000" w:rsidR="00000000" w:rsidRPr="00000000">
        <w:rPr>
          <w:sz w:val="24"/>
          <w:szCs w:val="24"/>
          <w:rtl w:val="0"/>
        </w:rPr>
        <w:t xml:space="preserve">International Journal of Human-Computer Interaction, 2013.  </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 Summary: </w:t>
      </w:r>
      <w:r w:rsidDel="00000000" w:rsidR="00000000" w:rsidRPr="00000000">
        <w:rPr>
          <w:sz w:val="24"/>
          <w:szCs w:val="24"/>
          <w:rtl w:val="0"/>
        </w:rPr>
        <w:t xml:space="preserve">Reviews literature on effective dashboard design principles and  provides a framework for designing interactive dashboards that facilitate data driven decision-making. </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b.   Title:</w:t>
      </w:r>
      <w:r w:rsidDel="00000000" w:rsidR="00000000" w:rsidRPr="00000000">
        <w:rPr>
          <w:sz w:val="24"/>
          <w:szCs w:val="24"/>
          <w:rtl w:val="0"/>
        </w:rPr>
        <w:t xml:space="preserve"> "The Role of Visualization and Visual Analytics in Sense making"  </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 Authors: </w:t>
      </w:r>
      <w:r w:rsidDel="00000000" w:rsidR="00000000" w:rsidRPr="00000000">
        <w:rPr>
          <w:sz w:val="24"/>
          <w:szCs w:val="24"/>
          <w:rtl w:val="0"/>
        </w:rPr>
        <w:t xml:space="preserve">Yi, J. S., Kang, Y. A., Stasko, J. T., &amp; Jacko, J. A.</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Publication:</w:t>
      </w:r>
      <w:r w:rsidDel="00000000" w:rsidR="00000000" w:rsidRPr="00000000">
        <w:rPr>
          <w:sz w:val="24"/>
          <w:szCs w:val="24"/>
          <w:rtl w:val="0"/>
        </w:rPr>
        <w:t xml:space="preserve"> Information Visualization, 2007. </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Summary:</w:t>
      </w:r>
      <w:r w:rsidDel="00000000" w:rsidR="00000000" w:rsidRPr="00000000">
        <w:rPr>
          <w:sz w:val="24"/>
          <w:szCs w:val="24"/>
          <w:rtl w:val="0"/>
        </w:rPr>
        <w:t xml:space="preserve"> Discusses the importance of visualization and visual analytics in  understanding complex datasets and extracting actionable insights.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