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sz w:val="38"/>
          <w:szCs w:val="38"/>
          <w:rtl w:val="0"/>
        </w:rPr>
        <w:t xml:space="preserve">Data Collection</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Data contains all the meta information regarding the columns described in the CSV files Column Description of the Dataset: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 Registrar:</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Registrar entities that are responsible for setting up enrollment centers, managing the enrollment process, and collecting necessary data.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4"/>
          <w:szCs w:val="24"/>
          <w:rtl w:val="0"/>
        </w:rPr>
        <w:t xml:space="preserve">2. Enrollment Agency:</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 Enrollment Agency is responsible for conducting the actual process of enrolling individuals into the Aadhar system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3. State: </w:t>
      </w:r>
      <w:r w:rsidDel="00000000" w:rsidR="00000000" w:rsidRPr="00000000">
        <w:rPr>
          <w:rtl w:val="0"/>
        </w:rPr>
        <w:t xml:space="preserve">Indian State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 4. District</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A district is an administrative division or unit that is usually part of a larger administrative region, such as a state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4"/>
          <w:szCs w:val="24"/>
          <w:rtl w:val="0"/>
        </w:rPr>
        <w:t xml:space="preserve">5. Sub-District</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A sub-district, also known as taluka or tehsil in different regions, is a smaller administrative unit that is part of a district.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4"/>
          <w:szCs w:val="24"/>
          <w:rtl w:val="0"/>
        </w:rPr>
        <w:t xml:space="preserve">6. Pin Code:</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PIN code of the Aadhar card holder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7. Gender:</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Gender of the Aadhar card holder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 8. Age: </w:t>
      </w:r>
    </w:p>
    <w:p w:rsidR="00000000" w:rsidDel="00000000" w:rsidP="00000000" w:rsidRDefault="00000000" w:rsidRPr="00000000" w14:paraId="0000001C">
      <w:pPr>
        <w:rPr/>
      </w:pPr>
      <w:r w:rsidDel="00000000" w:rsidR="00000000" w:rsidRPr="00000000">
        <w:rPr>
          <w:rtl w:val="0"/>
        </w:rPr>
        <w:t xml:space="preserve">Age of the Aadhar card holder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9. Aadhar generated: </w:t>
      </w:r>
    </w:p>
    <w:p w:rsidR="00000000" w:rsidDel="00000000" w:rsidP="00000000" w:rsidRDefault="00000000" w:rsidRPr="00000000" w14:paraId="0000001F">
      <w:pPr>
        <w:rPr/>
      </w:pPr>
      <w:r w:rsidDel="00000000" w:rsidR="00000000" w:rsidRPr="00000000">
        <w:rPr>
          <w:rtl w:val="0"/>
        </w:rPr>
        <w:t xml:space="preserve">No of Aadhar Generated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10. Enrolment Rejected: </w:t>
      </w:r>
    </w:p>
    <w:p w:rsidR="00000000" w:rsidDel="00000000" w:rsidP="00000000" w:rsidRDefault="00000000" w:rsidRPr="00000000" w14:paraId="00000022">
      <w:pPr>
        <w:rPr/>
      </w:pPr>
      <w:r w:rsidDel="00000000" w:rsidR="00000000" w:rsidRPr="00000000">
        <w:rPr>
          <w:rtl w:val="0"/>
        </w:rPr>
        <w:t xml:space="preserve">No of Enrolment Rejected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11. Residents providing email: </w:t>
      </w:r>
    </w:p>
    <w:p w:rsidR="00000000" w:rsidDel="00000000" w:rsidP="00000000" w:rsidRDefault="00000000" w:rsidRPr="00000000" w14:paraId="00000025">
      <w:pPr>
        <w:rPr/>
      </w:pPr>
      <w:r w:rsidDel="00000000" w:rsidR="00000000" w:rsidRPr="00000000">
        <w:rPr>
          <w:rtl w:val="0"/>
        </w:rPr>
        <w:t xml:space="preserve">Whether Email is provided or not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12. Residents providing Mobile: </w:t>
      </w:r>
    </w:p>
    <w:p w:rsidR="00000000" w:rsidDel="00000000" w:rsidP="00000000" w:rsidRDefault="00000000" w:rsidRPr="00000000" w14:paraId="00000027">
      <w:pPr>
        <w:rPr/>
      </w:pPr>
      <w:r w:rsidDel="00000000" w:rsidR="00000000" w:rsidRPr="00000000">
        <w:rPr>
          <w:rtl w:val="0"/>
        </w:rPr>
        <w:t xml:space="preserve">Whether Mobile provided or not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b w:val="1"/>
          <w:sz w:val="26"/>
          <w:szCs w:val="26"/>
          <w:rtl w:val="0"/>
        </w:rPr>
        <w:t xml:space="preserve">Connect Data with Qlik Sense </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Connect Aadhar data with Qlik Sense</w:t>
      </w:r>
    </w:p>
    <w:p w:rsidR="00000000" w:rsidDel="00000000" w:rsidP="00000000" w:rsidRDefault="00000000" w:rsidRPr="00000000" w14:paraId="0000002B">
      <w:pPr>
        <w:rPr/>
      </w:pPr>
      <w:r w:rsidDel="00000000" w:rsidR="00000000" w:rsidRPr="00000000">
        <w:rPr>
          <w:rtl w:val="0"/>
        </w:rPr>
        <w:t xml:space="preserve"> begin with data preparation, ensuring compatibility and accuracy. In the Data Manager, add the data source and configure connection settings, then optimize the generated data model. Customize the data load script to import Aadhar data, using Qlik Script to specify transformation steps. Once loaded, create visualizations in Qlik Sense to analyze demographic trends and enrollment behaviors. Develop interactive dashboards, combining multiple visualizations for dynamic exploration. Schedule regular data refreshes to maintain up-to-date insights. This seamless integration empowers users to extract actionable insights from Aadhar data, aiding informed decision-making and strategic planning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