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4066" w14:textId="77777777" w:rsidR="00A44FBA" w:rsidRDefault="003E233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6F95183" w14:textId="77777777" w:rsidR="00A44FBA" w:rsidRDefault="003E233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B8DADD" w14:textId="77777777" w:rsidR="00A44FBA" w:rsidRDefault="00A44FB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4FBA" w14:paraId="2E15010D" w14:textId="77777777">
        <w:trPr>
          <w:jc w:val="center"/>
        </w:trPr>
        <w:tc>
          <w:tcPr>
            <w:tcW w:w="4508" w:type="dxa"/>
          </w:tcPr>
          <w:p w14:paraId="7FB14D0A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E56308" w14:textId="2B3A9984" w:rsidR="00A44FBA" w:rsidRDefault="00E503C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  <w:r w:rsidR="00F23CF7" w:rsidRPr="00F23CF7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A44FBA" w14:paraId="3B353F1B" w14:textId="77777777">
        <w:trPr>
          <w:jc w:val="center"/>
        </w:trPr>
        <w:tc>
          <w:tcPr>
            <w:tcW w:w="4508" w:type="dxa"/>
          </w:tcPr>
          <w:p w14:paraId="76D60CB6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CB29CC7" w14:textId="61183DC5" w:rsidR="00A44FBA" w:rsidRDefault="00E503CD">
            <w:pPr>
              <w:rPr>
                <w:rFonts w:ascii="Arial" w:eastAsia="Arial" w:hAnsi="Arial" w:cs="Arial"/>
              </w:rPr>
            </w:pPr>
            <w:r w:rsidRPr="00E503CD">
              <w:rPr>
                <w:rFonts w:ascii="Arial" w:eastAsia="Arial" w:hAnsi="Arial" w:cs="Arial"/>
              </w:rPr>
              <w:t>LTVIP2026TMIDS66048</w:t>
            </w:r>
          </w:p>
        </w:tc>
      </w:tr>
      <w:tr w:rsidR="00A44FBA" w14:paraId="1987E08B" w14:textId="77777777">
        <w:trPr>
          <w:jc w:val="center"/>
        </w:trPr>
        <w:tc>
          <w:tcPr>
            <w:tcW w:w="4508" w:type="dxa"/>
          </w:tcPr>
          <w:p w14:paraId="04C2CD39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047B217" w14:textId="5DC16CDD" w:rsidR="00A44FBA" w:rsidRDefault="00CE32A2">
            <w:pPr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IntelliSQL</w:t>
            </w:r>
            <w:proofErr w:type="spellEnd"/>
            <w:r w:rsidRPr="00CE32A2">
              <w:rPr>
                <w:rFonts w:ascii="Arial" w:eastAsia="Arial" w:hAnsi="Arial" w:cs="Arial"/>
              </w:rPr>
              <w:t>: Intelligent SQL Querying with LLMs Using Gemini Pro</w:t>
            </w:r>
          </w:p>
        </w:tc>
      </w:tr>
      <w:tr w:rsidR="00A44FBA" w14:paraId="183B8FFB" w14:textId="77777777">
        <w:trPr>
          <w:jc w:val="center"/>
        </w:trPr>
        <w:tc>
          <w:tcPr>
            <w:tcW w:w="4508" w:type="dxa"/>
          </w:tcPr>
          <w:p w14:paraId="0CBDF337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2839BA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00F49F4" w14:textId="77777777" w:rsidR="00A44FBA" w:rsidRDefault="00A44FBA">
      <w:pPr>
        <w:rPr>
          <w:rFonts w:ascii="Arial" w:eastAsia="Arial" w:hAnsi="Arial" w:cs="Arial"/>
          <w:b/>
        </w:rPr>
      </w:pPr>
    </w:p>
    <w:p w14:paraId="2594F134" w14:textId="77777777" w:rsidR="00A44FBA" w:rsidRDefault="003E233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719EC47" w14:textId="13F37EA6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 xml:space="preserve">Presentation: Managed by </w:t>
      </w:r>
      <w:proofErr w:type="spellStart"/>
      <w:r w:rsidRPr="00CE32A2">
        <w:rPr>
          <w:rFonts w:ascii="Arial" w:eastAsia="Arial" w:hAnsi="Arial" w:cs="Arial"/>
        </w:rPr>
        <w:t>Streamlit</w:t>
      </w:r>
      <w:proofErr w:type="spellEnd"/>
      <w:r w:rsidRPr="00CE32A2">
        <w:rPr>
          <w:rFonts w:ascii="Arial" w:eastAsia="Arial" w:hAnsi="Arial" w:cs="Arial"/>
        </w:rPr>
        <w:t xml:space="preserve"> with custom CSS accents (#4CAF50) for a modern appearance.</w:t>
      </w:r>
    </w:p>
    <w:p w14:paraId="188A3C68" w14:textId="2C4787A1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>Logic Execution: Orchestrated by Python, ensuring that the database connection is safely opened and closed during each query.</w:t>
      </w:r>
    </w:p>
    <w:p w14:paraId="0A3C28BE" w14:textId="1CE079E8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  <w:bCs/>
        </w:rPr>
      </w:pPr>
      <w:r w:rsidRPr="00CE32A2">
        <w:rPr>
          <w:rFonts w:ascii="Arial" w:eastAsia="Arial" w:hAnsi="Arial" w:cs="Arial"/>
        </w:rPr>
        <w:t>Intelligence: Powered by the Gemini Flash model to ensure the "Intelligent Query Assistance" remains fast and reliable</w:t>
      </w:r>
      <w:r w:rsidRPr="00CE32A2">
        <w:rPr>
          <w:rFonts w:ascii="Arial" w:eastAsia="Arial" w:hAnsi="Arial" w:cs="Arial"/>
          <w:bCs/>
        </w:rPr>
        <w:t>.</w:t>
      </w:r>
    </w:p>
    <w:p w14:paraId="182907DD" w14:textId="77777777" w:rsidR="00CE32A2" w:rsidRPr="00CE32A2" w:rsidRDefault="00CE32A2">
      <w:pPr>
        <w:rPr>
          <w:rFonts w:ascii="Arial" w:eastAsia="Arial" w:hAnsi="Arial" w:cs="Arial"/>
          <w:bCs/>
        </w:rPr>
      </w:pPr>
    </w:p>
    <w:p w14:paraId="28144D3B" w14:textId="7C50FE9A" w:rsidR="00A44FBA" w:rsidRDefault="00CE32A2" w:rsidP="00CE32A2">
      <w:pPr>
        <w:tabs>
          <w:tab w:val="left" w:pos="2320"/>
        </w:tabs>
        <w:jc w:val="center"/>
        <w:rPr>
          <w:rFonts w:ascii="Arial" w:eastAsia="Arial" w:hAnsi="Arial" w:cs="Arial"/>
          <w:b/>
        </w:rPr>
      </w:pPr>
      <w:r w:rsidRPr="00CE32A2">
        <w:rPr>
          <w:rFonts w:ascii="Arial" w:eastAsia="Arial" w:hAnsi="Arial" w:cs="Arial"/>
          <w:b/>
          <w:noProof/>
        </w:rPr>
        <w:drawing>
          <wp:inline distT="0" distB="0" distL="0" distR="0" wp14:anchorId="1EABE2CD" wp14:editId="7B643493">
            <wp:extent cx="2908300" cy="2908300"/>
            <wp:effectExtent l="0" t="0" r="6350" b="6350"/>
            <wp:docPr id="156467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2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0311" cy="29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A82D" w14:textId="77777777" w:rsidR="00A44FBA" w:rsidRDefault="003E233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44FBA" w14:paraId="2090AE6E" w14:textId="77777777">
        <w:trPr>
          <w:trHeight w:val="398"/>
        </w:trPr>
        <w:tc>
          <w:tcPr>
            <w:tcW w:w="840" w:type="dxa"/>
          </w:tcPr>
          <w:p w14:paraId="11B794BA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4AD156E5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BFF794A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2DCED83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44FBA" w14:paraId="01105AD9" w14:textId="77777777">
        <w:trPr>
          <w:trHeight w:val="489"/>
        </w:trPr>
        <w:tc>
          <w:tcPr>
            <w:tcW w:w="840" w:type="dxa"/>
          </w:tcPr>
          <w:p w14:paraId="698084E8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77950C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9724BF3" w14:textId="7F0C62D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A web-based dashboard with a professional dark theme that allows users to navigate between Home, About, and the Query Tool.</w:t>
            </w:r>
          </w:p>
        </w:tc>
        <w:tc>
          <w:tcPr>
            <w:tcW w:w="4140" w:type="dxa"/>
          </w:tcPr>
          <w:p w14:paraId="30D89D1E" w14:textId="795B64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>, Custom CSS</w:t>
            </w:r>
          </w:p>
        </w:tc>
      </w:tr>
      <w:tr w:rsidR="00A44FBA" w14:paraId="0CA54EA4" w14:textId="77777777">
        <w:trPr>
          <w:trHeight w:val="470"/>
        </w:trPr>
        <w:tc>
          <w:tcPr>
            <w:tcW w:w="840" w:type="dxa"/>
          </w:tcPr>
          <w:p w14:paraId="6B79ED3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8EC554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3350540" w14:textId="60B6B69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Core backend processing for environment setup, model configuration, and coordinating data flow between the UI and LLM.</w:t>
            </w:r>
          </w:p>
        </w:tc>
        <w:tc>
          <w:tcPr>
            <w:tcW w:w="4140" w:type="dxa"/>
          </w:tcPr>
          <w:p w14:paraId="04174B02" w14:textId="13B7CA4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</w:t>
            </w:r>
          </w:p>
        </w:tc>
      </w:tr>
      <w:tr w:rsidR="00A44FBA" w14:paraId="58637EDF" w14:textId="77777777">
        <w:trPr>
          <w:trHeight w:val="470"/>
        </w:trPr>
        <w:tc>
          <w:tcPr>
            <w:tcW w:w="840" w:type="dxa"/>
          </w:tcPr>
          <w:p w14:paraId="3CC6A4EC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B1C62E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E0CA162" w14:textId="0D10B66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Natural language processing logic to translate English questions into structured SQL queries.</w:t>
            </w:r>
          </w:p>
        </w:tc>
        <w:tc>
          <w:tcPr>
            <w:tcW w:w="4140" w:type="dxa"/>
          </w:tcPr>
          <w:p w14:paraId="2598222A" w14:textId="0017063E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Google Gemini Flash API</w:t>
            </w:r>
            <w:r w:rsidRPr="00CE32A2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CE32A2">
              <w:rPr>
                <w:rFonts w:ascii="Arial" w:eastAsia="Arial" w:hAnsi="Arial" w:cs="Arial"/>
              </w:rPr>
              <w:t>gemini</w:t>
            </w:r>
            <w:proofErr w:type="spellEnd"/>
            <w:r w:rsidRPr="00CE32A2">
              <w:rPr>
                <w:rFonts w:ascii="Arial" w:eastAsia="Arial" w:hAnsi="Arial" w:cs="Arial"/>
              </w:rPr>
              <w:t>-flash-latest)</w:t>
            </w:r>
          </w:p>
        </w:tc>
      </w:tr>
      <w:tr w:rsidR="00A44FBA" w14:paraId="02270637" w14:textId="77777777">
        <w:trPr>
          <w:trHeight w:val="470"/>
        </w:trPr>
        <w:tc>
          <w:tcPr>
            <w:tcW w:w="840" w:type="dxa"/>
          </w:tcPr>
          <w:p w14:paraId="7C071423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9C8ED5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F204EA2" w14:textId="5937CAC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Data cleaning and sanitization logic to extract valid SQL from conversational AI responses.</w:t>
            </w:r>
          </w:p>
        </w:tc>
        <w:tc>
          <w:tcPr>
            <w:tcW w:w="4140" w:type="dxa"/>
          </w:tcPr>
          <w:p w14:paraId="05755ABF" w14:textId="1E31B3E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 Regex (re)</w:t>
            </w:r>
          </w:p>
        </w:tc>
      </w:tr>
      <w:tr w:rsidR="00A44FBA" w14:paraId="43E5725A" w14:textId="77777777">
        <w:trPr>
          <w:trHeight w:val="489"/>
        </w:trPr>
        <w:tc>
          <w:tcPr>
            <w:tcW w:w="840" w:type="dxa"/>
          </w:tcPr>
          <w:p w14:paraId="2E2621A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E4F96E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641B691" w14:textId="40E0DE6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Relational database containing the STUDENTS table with columns for Name, Class, Marks, and Company.</w:t>
            </w:r>
          </w:p>
        </w:tc>
        <w:tc>
          <w:tcPr>
            <w:tcW w:w="4140" w:type="dxa"/>
          </w:tcPr>
          <w:p w14:paraId="5205CF10" w14:textId="67536AC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SQLite</w:t>
            </w:r>
            <w:r w:rsidRPr="00CE32A2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CE32A2">
              <w:rPr>
                <w:rFonts w:ascii="Arial" w:eastAsia="Arial" w:hAnsi="Arial" w:cs="Arial"/>
              </w:rPr>
              <w:t>data.db</w:t>
            </w:r>
            <w:proofErr w:type="spellEnd"/>
            <w:r w:rsidRPr="00CE32A2">
              <w:rPr>
                <w:rFonts w:ascii="Arial" w:eastAsia="Arial" w:hAnsi="Arial" w:cs="Arial"/>
              </w:rPr>
              <w:t>)</w:t>
            </w:r>
          </w:p>
        </w:tc>
      </w:tr>
      <w:tr w:rsidR="00A44FBA" w14:paraId="6BE2B1FB" w14:textId="77777777">
        <w:trPr>
          <w:trHeight w:val="489"/>
        </w:trPr>
        <w:tc>
          <w:tcPr>
            <w:tcW w:w="840" w:type="dxa"/>
          </w:tcPr>
          <w:p w14:paraId="5460C2DB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F20356F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1AEB00D" w14:textId="120B4A7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N/A - The current project utilizes a local database setup for rapid development.</w:t>
            </w:r>
          </w:p>
        </w:tc>
        <w:tc>
          <w:tcPr>
            <w:tcW w:w="4140" w:type="dxa"/>
          </w:tcPr>
          <w:p w14:paraId="15A4BC91" w14:textId="2412E3F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SQLite</w:t>
            </w:r>
          </w:p>
        </w:tc>
      </w:tr>
      <w:tr w:rsidR="00A44FBA" w14:paraId="4A812C67" w14:textId="77777777">
        <w:trPr>
          <w:trHeight w:val="489"/>
        </w:trPr>
        <w:tc>
          <w:tcPr>
            <w:tcW w:w="840" w:type="dxa"/>
          </w:tcPr>
          <w:p w14:paraId="72D2E9EF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656A7D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DB31034" w14:textId="3D3B8AF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storage for database files and environment configuration.</w:t>
            </w:r>
          </w:p>
        </w:tc>
        <w:tc>
          <w:tcPr>
            <w:tcW w:w="4140" w:type="dxa"/>
          </w:tcPr>
          <w:p w14:paraId="09819015" w14:textId="3D3906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Filesystem</w:t>
            </w:r>
          </w:p>
        </w:tc>
      </w:tr>
      <w:tr w:rsidR="00A44FBA" w14:paraId="6E0C56E2" w14:textId="77777777">
        <w:trPr>
          <w:trHeight w:val="489"/>
        </w:trPr>
        <w:tc>
          <w:tcPr>
            <w:tcW w:w="840" w:type="dxa"/>
          </w:tcPr>
          <w:p w14:paraId="58913CC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D5F543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92EEA0C" w14:textId="609C53B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Primary generative AI interface used to perform the conversion of text to SQL.</w:t>
            </w:r>
          </w:p>
        </w:tc>
        <w:tc>
          <w:tcPr>
            <w:tcW w:w="4140" w:type="dxa"/>
          </w:tcPr>
          <w:p w14:paraId="47D5BEFA" w14:textId="03BBA6FD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Google Generative AI SDK</w:t>
            </w:r>
          </w:p>
        </w:tc>
      </w:tr>
      <w:tr w:rsidR="00A44FBA" w14:paraId="7AC96462" w14:textId="77777777">
        <w:trPr>
          <w:trHeight w:val="489"/>
        </w:trPr>
        <w:tc>
          <w:tcPr>
            <w:tcW w:w="840" w:type="dxa"/>
          </w:tcPr>
          <w:p w14:paraId="6A6E02AD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699A51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351C562" w14:textId="1F68ABA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Secure management of environment variables to protect the system's API keys.</w:t>
            </w:r>
          </w:p>
        </w:tc>
        <w:tc>
          <w:tcPr>
            <w:tcW w:w="4140" w:type="dxa"/>
          </w:tcPr>
          <w:p w14:paraId="730DFDAA" w14:textId="62CFC1A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python-</w:t>
            </w:r>
            <w:proofErr w:type="spellStart"/>
            <w:r w:rsidRPr="00CE32A2"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A44FBA" w14:paraId="04139FD4" w14:textId="77777777">
        <w:trPr>
          <w:trHeight w:val="489"/>
        </w:trPr>
        <w:tc>
          <w:tcPr>
            <w:tcW w:w="840" w:type="dxa"/>
          </w:tcPr>
          <w:p w14:paraId="1B1CFDA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3C1230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5929475" w14:textId="6B3B37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High-speed Large Language Model (LLM) optimized for fast inference and accurate code generation.</w:t>
            </w:r>
          </w:p>
        </w:tc>
        <w:tc>
          <w:tcPr>
            <w:tcW w:w="4140" w:type="dxa"/>
          </w:tcPr>
          <w:p w14:paraId="3355F7E3" w14:textId="7504073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</w:t>
            </w:r>
          </w:p>
        </w:tc>
      </w:tr>
      <w:tr w:rsidR="00A44FBA" w14:paraId="632E971D" w14:textId="77777777">
        <w:trPr>
          <w:trHeight w:val="489"/>
        </w:trPr>
        <w:tc>
          <w:tcPr>
            <w:tcW w:w="840" w:type="dxa"/>
          </w:tcPr>
          <w:p w14:paraId="7FE72BC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867D9A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3DAE714" w14:textId="656951A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Deployment configuration for local testing and interactive web hosting.</w:t>
            </w:r>
          </w:p>
        </w:tc>
        <w:tc>
          <w:tcPr>
            <w:tcW w:w="4140" w:type="dxa"/>
          </w:tcPr>
          <w:p w14:paraId="1FDFAE4E" w14:textId="249F2A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Local System / </w:t>
            </w: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 xml:space="preserve"> Cloud</w:t>
            </w:r>
          </w:p>
        </w:tc>
      </w:tr>
    </w:tbl>
    <w:p w14:paraId="0D6816E5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B748C0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8DE6D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B476B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7162F9" w14:textId="053BBF80" w:rsidR="00CE32A2" w:rsidRDefault="003E233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44FBA" w14:paraId="0805AA3E" w14:textId="77777777">
        <w:trPr>
          <w:trHeight w:val="539"/>
          <w:tblHeader/>
        </w:trPr>
        <w:tc>
          <w:tcPr>
            <w:tcW w:w="826" w:type="dxa"/>
          </w:tcPr>
          <w:p w14:paraId="3DF5755D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CA4483B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573B1F0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27E0800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44FBA" w14:paraId="4657F985" w14:textId="77777777">
        <w:trPr>
          <w:trHeight w:val="229"/>
        </w:trPr>
        <w:tc>
          <w:tcPr>
            <w:tcW w:w="826" w:type="dxa"/>
          </w:tcPr>
          <w:p w14:paraId="5C60AF83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3A2E21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7084CEE" w14:textId="799F20E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The project utilizes a high-performance open-source framework for building the web interface. It also relies on environmental management libraries to handle configuration safely.</w:t>
            </w:r>
          </w:p>
        </w:tc>
        <w:tc>
          <w:tcPr>
            <w:tcW w:w="4097" w:type="dxa"/>
          </w:tcPr>
          <w:p w14:paraId="247C0EFE" w14:textId="32F9AD9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>, Python-</w:t>
            </w:r>
            <w:proofErr w:type="spellStart"/>
            <w:r w:rsidRPr="00CE32A2"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A44FBA" w14:paraId="2A785C16" w14:textId="77777777">
        <w:trPr>
          <w:trHeight w:val="229"/>
        </w:trPr>
        <w:tc>
          <w:tcPr>
            <w:tcW w:w="826" w:type="dxa"/>
          </w:tcPr>
          <w:p w14:paraId="380C3597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70A644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7A75253" w14:textId="4BFED1E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</w:t>
            </w:r>
            <w:r w:rsidRPr="00CE32A2">
              <w:rPr>
                <w:rFonts w:ascii="Arial" w:eastAsia="Arial" w:hAnsi="Arial" w:cs="Arial"/>
              </w:rPr>
              <w:t xml:space="preserve">ccess control is managed by storing the sensitive GOOGLE_API_KEY in a local environment file rather than the source code. </w:t>
            </w:r>
            <w:proofErr w:type="gramStart"/>
            <w:r w:rsidRPr="00CE32A2">
              <w:rPr>
                <w:rFonts w:ascii="Arial" w:eastAsia="Arial" w:hAnsi="Arial" w:cs="Arial"/>
              </w:rPr>
              <w:t>A .</w:t>
            </w:r>
            <w:proofErr w:type="spellStart"/>
            <w:r w:rsidRPr="00CE32A2">
              <w:rPr>
                <w:rFonts w:ascii="Arial" w:eastAsia="Arial" w:hAnsi="Arial" w:cs="Arial"/>
              </w:rPr>
              <w:t>gitignore</w:t>
            </w:r>
            <w:proofErr w:type="spellEnd"/>
            <w:proofErr w:type="gramEnd"/>
            <w:r w:rsidRPr="00CE32A2">
              <w:rPr>
                <w:rFonts w:ascii="Arial" w:eastAsia="Arial" w:hAnsi="Arial" w:cs="Arial"/>
              </w:rPr>
              <w:t xml:space="preserve"> file prevents these credentials from being exposed in public repositories</w:t>
            </w:r>
          </w:p>
        </w:tc>
        <w:tc>
          <w:tcPr>
            <w:tcW w:w="4097" w:type="dxa"/>
          </w:tcPr>
          <w:p w14:paraId="790E08E6" w14:textId="7AF2F21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Environment Variable Masking (.env)</w:t>
            </w:r>
          </w:p>
        </w:tc>
      </w:tr>
      <w:tr w:rsidR="00A44FBA" w14:paraId="1EA9F3EE" w14:textId="77777777">
        <w:trPr>
          <w:trHeight w:val="229"/>
        </w:trPr>
        <w:tc>
          <w:tcPr>
            <w:tcW w:w="826" w:type="dxa"/>
          </w:tcPr>
          <w:p w14:paraId="66718DA2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D53714B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52E243B" w14:textId="3818D9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The application follows a modular 3-tier architecture—separating the </w:t>
            </w:r>
            <w:r w:rsidRPr="00CE32A2">
              <w:rPr>
                <w:rFonts w:ascii="Arial" w:eastAsia="Arial" w:hAnsi="Arial" w:cs="Arial"/>
                <w:b/>
                <w:bCs/>
              </w:rPr>
              <w:t>UI Layer</w:t>
            </w:r>
            <w:r w:rsidRPr="00CE32A2">
              <w:rPr>
                <w:rFonts w:ascii="Arial" w:eastAsia="Arial" w:hAnsi="Arial" w:cs="Arial"/>
              </w:rPr>
              <w:t xml:space="preserve">, </w:t>
            </w:r>
            <w:r w:rsidRPr="00CE32A2">
              <w:rPr>
                <w:rFonts w:ascii="Arial" w:eastAsia="Arial" w:hAnsi="Arial" w:cs="Arial"/>
                <w:b/>
                <w:bCs/>
              </w:rPr>
              <w:t>AI Logic Layer</w:t>
            </w:r>
            <w:r w:rsidRPr="00CE32A2">
              <w:rPr>
                <w:rFonts w:ascii="Arial" w:eastAsia="Arial" w:hAnsi="Arial" w:cs="Arial"/>
              </w:rPr>
              <w:t xml:space="preserve">, and </w:t>
            </w:r>
            <w:r w:rsidRPr="00CE32A2">
              <w:rPr>
                <w:rFonts w:ascii="Arial" w:eastAsia="Arial" w:hAnsi="Arial" w:cs="Arial"/>
                <w:b/>
                <w:bCs/>
              </w:rPr>
              <w:t>Database Layer</w:t>
            </w:r>
            <w:r w:rsidRPr="00CE32A2">
              <w:rPr>
                <w:rFonts w:ascii="Arial" w:eastAsia="Arial" w:hAnsi="Arial" w:cs="Arial"/>
              </w:rPr>
              <w:t>. This allows for the AI model to be upgraded or the database to be migrated with minimal impact on other components.</w:t>
            </w:r>
          </w:p>
        </w:tc>
        <w:tc>
          <w:tcPr>
            <w:tcW w:w="4097" w:type="dxa"/>
          </w:tcPr>
          <w:p w14:paraId="0630F169" w14:textId="2D6097B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4941B0F2" w14:textId="77777777">
        <w:trPr>
          <w:trHeight w:val="229"/>
        </w:trPr>
        <w:tc>
          <w:tcPr>
            <w:tcW w:w="826" w:type="dxa"/>
          </w:tcPr>
          <w:p w14:paraId="78FFC06F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864D67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9540B42" w14:textId="5638961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As a local executable or cloud-hosted </w:t>
            </w: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 xml:space="preserve"> app, the tool is available as long as the host server is active and the Google AI services are reachable.</w:t>
            </w:r>
          </w:p>
        </w:tc>
        <w:tc>
          <w:tcPr>
            <w:tcW w:w="4097" w:type="dxa"/>
          </w:tcPr>
          <w:p w14:paraId="5840CE93" w14:textId="13E8D6B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68A09727" w14:textId="77777777">
        <w:trPr>
          <w:trHeight w:val="229"/>
        </w:trPr>
        <w:tc>
          <w:tcPr>
            <w:tcW w:w="826" w:type="dxa"/>
          </w:tcPr>
          <w:p w14:paraId="782E220E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DD73BE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6ADEEDA" w14:textId="28B4303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Performance is optimized by using the </w:t>
            </w:r>
            <w:r w:rsidRPr="00CE32A2">
              <w:rPr>
                <w:rFonts w:ascii="Arial" w:eastAsia="Arial" w:hAnsi="Arial" w:cs="Arial"/>
                <w:b/>
                <w:bCs/>
              </w:rPr>
              <w:t>Gemini 1.5 Flash</w:t>
            </w:r>
            <w:r w:rsidRPr="00CE32A2">
              <w:rPr>
                <w:rFonts w:ascii="Arial" w:eastAsia="Arial" w:hAnsi="Arial" w:cs="Arial"/>
              </w:rPr>
              <w:t xml:space="preserve"> model, specifically chosen for its low-latency response times and efficient token processing for code generation. Data retrieval is kept fast by using a lightweight SQLite local store.</w:t>
            </w:r>
          </w:p>
        </w:tc>
        <w:tc>
          <w:tcPr>
            <w:tcW w:w="4097" w:type="dxa"/>
          </w:tcPr>
          <w:p w14:paraId="09B10F32" w14:textId="36CCDD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Flash, SQLite Indexed Storage</w:t>
            </w:r>
          </w:p>
        </w:tc>
      </w:tr>
    </w:tbl>
    <w:p w14:paraId="73D39087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E51355" w14:textId="77777777" w:rsidR="00A44FBA" w:rsidRDefault="00A44FBA">
      <w:pPr>
        <w:rPr>
          <w:rFonts w:ascii="Arial" w:eastAsia="Arial" w:hAnsi="Arial" w:cs="Arial"/>
          <w:b/>
        </w:rPr>
      </w:pPr>
    </w:p>
    <w:p w14:paraId="7B2395EB" w14:textId="77777777" w:rsidR="00A44FBA" w:rsidRDefault="00A44FBA">
      <w:pPr>
        <w:rPr>
          <w:rFonts w:ascii="Arial" w:eastAsia="Arial" w:hAnsi="Arial" w:cs="Arial"/>
          <w:b/>
        </w:rPr>
      </w:pPr>
    </w:p>
    <w:p w14:paraId="1F3B43E5" w14:textId="77777777" w:rsidR="00A44FBA" w:rsidRDefault="00A44FBA">
      <w:pPr>
        <w:rPr>
          <w:rFonts w:ascii="Arial" w:eastAsia="Arial" w:hAnsi="Arial" w:cs="Arial"/>
          <w:b/>
        </w:rPr>
      </w:pPr>
    </w:p>
    <w:sectPr w:rsidR="00A44FB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162A"/>
    <w:multiLevelType w:val="multilevel"/>
    <w:tmpl w:val="12B05B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7377ABC"/>
    <w:multiLevelType w:val="hybridMultilevel"/>
    <w:tmpl w:val="C8C01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32DDB"/>
    <w:multiLevelType w:val="multilevel"/>
    <w:tmpl w:val="DFD6D9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68059B8"/>
    <w:multiLevelType w:val="hybridMultilevel"/>
    <w:tmpl w:val="8760FCE6"/>
    <w:lvl w:ilvl="0" w:tplc="D646D58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231849">
    <w:abstractNumId w:val="0"/>
  </w:num>
  <w:num w:numId="2" w16cid:durableId="2127000702">
    <w:abstractNumId w:val="2"/>
  </w:num>
  <w:num w:numId="3" w16cid:durableId="1609003947">
    <w:abstractNumId w:val="1"/>
  </w:num>
  <w:num w:numId="4" w16cid:durableId="869339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FBA"/>
    <w:rsid w:val="003E2332"/>
    <w:rsid w:val="007A7E6F"/>
    <w:rsid w:val="00904443"/>
    <w:rsid w:val="00A44FBA"/>
    <w:rsid w:val="00BB0FEC"/>
    <w:rsid w:val="00C33A51"/>
    <w:rsid w:val="00CE32A2"/>
    <w:rsid w:val="00DC74DD"/>
    <w:rsid w:val="00E44FA1"/>
    <w:rsid w:val="00E503CD"/>
    <w:rsid w:val="00F23CF7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184E"/>
  <w15:docId w15:val="{16473BE9-90F1-4CF3-87C5-724C2824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Divya Surya Chandrika Kola</cp:lastModifiedBy>
  <cp:revision>2</cp:revision>
  <dcterms:created xsi:type="dcterms:W3CDTF">2026-02-21T04:55:00Z</dcterms:created>
  <dcterms:modified xsi:type="dcterms:W3CDTF">2026-02-21T04:55:00Z</dcterms:modified>
</cp:coreProperties>
</file>