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</w:pPr>
      <w:r>
        <w:rPr>
          <w:rFonts w:ascii="Georgia" w:hAnsi="Georgia"/>
          <w:b/>
          <w:color w:val="0E0E0E"/>
          <w:sz w:val="56"/>
        </w:rPr>
        <w:t>आstha — E-commerce Website</w:t>
      </w:r>
    </w:p>
    <w:p>
      <w:pPr>
        <w:spacing w:before="0" w:after="720"/>
      </w:pPr>
      <w:r>
        <w:rPr>
          <w:rFonts w:ascii="Georgia" w:hAnsi="Georgia"/>
          <w:i/>
          <w:color w:val="8E663E"/>
          <w:sz w:val="40"/>
        </w:rPr>
        <w:t>Website Rendered Interface &amp; Visual Proof Document</w:t>
      </w:r>
    </w:p>
    <w:p>
      <w:pPr>
        <w:spacing w:after="1200"/>
      </w:pPr>
      <w:r>
        <w:rPr>
          <w:color w:val="8E663E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120"/>
            </w:pPr>
            <w:r>
              <w:rPr>
                <w:rFonts w:ascii="Arial" w:hAnsi="Arial"/>
                <w:b/>
                <w:color w:val="0E0E0E"/>
                <w:sz w:val="22"/>
              </w:rPr>
              <w:t>Student name:</w:t>
            </w:r>
          </w:p>
        </w:tc>
        <w:tc>
          <w:tcPr>
            <w:tcW w:type="dxa" w:w="6192"/>
          </w:tcPr>
          <w:p>
            <w:pPr>
              <w:spacing w:after="120"/>
            </w:pPr>
            <w:r>
              <w:rPr>
                <w:rFonts w:ascii="Arial" w:hAnsi="Arial"/>
                <w:color w:val="646464"/>
                <w:sz w:val="22"/>
              </w:rPr>
              <w:t>[ENTER STUDENT NAME]</w:t>
            </w:r>
          </w:p>
        </w:tc>
      </w:tr>
      <w:tr>
        <w:tc>
          <w:tcPr>
            <w:tcW w:type="dxa" w:w="3168"/>
          </w:tcPr>
          <w:p>
            <w:pPr>
              <w:spacing w:after="120"/>
            </w:pPr>
            <w:r>
              <w:rPr>
                <w:rFonts w:ascii="Arial" w:hAnsi="Arial"/>
                <w:b/>
                <w:color w:val="0E0E0E"/>
                <w:sz w:val="22"/>
              </w:rPr>
              <w:t>Roll number:</w:t>
            </w:r>
          </w:p>
        </w:tc>
        <w:tc>
          <w:tcPr>
            <w:tcW w:type="dxa" w:w="6192"/>
          </w:tcPr>
          <w:p>
            <w:pPr>
              <w:spacing w:after="120"/>
            </w:pPr>
            <w:r>
              <w:rPr>
                <w:rFonts w:ascii="Arial" w:hAnsi="Arial"/>
                <w:color w:val="646464"/>
                <w:sz w:val="22"/>
              </w:rPr>
              <w:t>[ENTER ROLL NUMBER]</w:t>
            </w:r>
          </w:p>
        </w:tc>
      </w:tr>
      <w:tr>
        <w:tc>
          <w:tcPr>
            <w:tcW w:type="dxa" w:w="3168"/>
          </w:tcPr>
          <w:p>
            <w:pPr>
              <w:spacing w:after="120"/>
            </w:pPr>
            <w:r>
              <w:rPr>
                <w:rFonts w:ascii="Arial" w:hAnsi="Arial"/>
                <w:b/>
                <w:color w:val="0E0E0E"/>
                <w:sz w:val="22"/>
              </w:rPr>
              <w:t>Course/subject:</w:t>
            </w:r>
          </w:p>
        </w:tc>
        <w:tc>
          <w:tcPr>
            <w:tcW w:type="dxa" w:w="6192"/>
          </w:tcPr>
          <w:p>
            <w:pPr>
              <w:spacing w:after="120"/>
            </w:pPr>
            <w:r>
              <w:rPr>
                <w:rFonts w:ascii="Arial" w:hAnsi="Arial"/>
                <w:color w:val="646464"/>
                <w:sz w:val="22"/>
              </w:rPr>
              <w:t>[ENTER COURSE NAME]</w:t>
            </w:r>
          </w:p>
        </w:tc>
      </w:tr>
      <w:tr>
        <w:tc>
          <w:tcPr>
            <w:tcW w:type="dxa" w:w="3168"/>
          </w:tcPr>
          <w:p>
            <w:pPr>
              <w:spacing w:after="120"/>
            </w:pPr>
            <w:r>
              <w:rPr>
                <w:rFonts w:ascii="Arial" w:hAnsi="Arial"/>
                <w:b/>
                <w:color w:val="0E0E0E"/>
                <w:sz w:val="22"/>
              </w:rPr>
              <w:t>Institution:</w:t>
            </w:r>
          </w:p>
        </w:tc>
        <w:tc>
          <w:tcPr>
            <w:tcW w:type="dxa" w:w="6192"/>
          </w:tcPr>
          <w:p>
            <w:pPr>
              <w:spacing w:after="120"/>
            </w:pPr>
            <w:r>
              <w:rPr>
                <w:rFonts w:ascii="Arial" w:hAnsi="Arial"/>
                <w:color w:val="646464"/>
                <w:sz w:val="22"/>
              </w:rPr>
              <w:t>[ENTER INSTITUTION]</w:t>
            </w:r>
          </w:p>
        </w:tc>
      </w:tr>
      <w:tr>
        <w:tc>
          <w:tcPr>
            <w:tcW w:type="dxa" w:w="3168"/>
          </w:tcPr>
          <w:p>
            <w:pPr>
              <w:spacing w:after="120"/>
            </w:pPr>
            <w:r>
              <w:rPr>
                <w:rFonts w:ascii="Arial" w:hAnsi="Arial"/>
                <w:b/>
                <w:color w:val="0E0E0E"/>
                <w:sz w:val="22"/>
              </w:rPr>
              <w:t>Submission date:</w:t>
            </w:r>
          </w:p>
        </w:tc>
        <w:tc>
          <w:tcPr>
            <w:tcW w:type="dxa" w:w="6192"/>
          </w:tcPr>
          <w:p>
            <w:pPr>
              <w:spacing w:after="120"/>
            </w:pPr>
            <w:r>
              <w:rPr>
                <w:rFonts w:ascii="Arial" w:hAnsi="Arial"/>
                <w:color w:val="646464"/>
                <w:sz w:val="22"/>
              </w:rPr>
              <w:t>[ENTER DATE]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b/>
          <w:color w:val="0E0E0E"/>
          <w:sz w:val="36"/>
        </w:rPr>
        <w:t>Website Rendered Visual Proof</w:t>
      </w:r>
    </w:p>
    <w:p>
      <w:pPr>
        <w:spacing w:after="320" w:line="288" w:lineRule="auto"/>
      </w:pPr>
      <w:r>
        <w:t>This document contains high-fidelity screen captures of the running आstha sacred apparel storefront. Every capture was recorded from the production build operating at http://localhost:3000 across desktop (1280x840) and mobile (390x844) viewports. The captures verify complete visual coherence, typography, product details, interactive galleries, and transactional flows.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1: Homepage — Hero Campaign &amp; Global Navigation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3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omepage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 | Viewport: Desktop (1280px)</w:t>
        <w:br/>
        <w:t>Demonstrates the refined editorial luxury hero banner, announcement bar with rotating delivery guarantees, desktop navigation links with Collections dropdown, and high-contrast campaign typography.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2: Shop Catalogue — Tradition Filters &amp; Product Grid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2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hop_catalog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/shop | Viewport: Desktop (1280px)</w:t>
        <w:br/>
        <w:t>Demonstrates the complete catalogue browsing experience, tradition filter chips (Vedic, Priests, Monks), material and price select filters, sorting control, and consistent 3:4 portrait product cards.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3: Product Detail — Pitambari Dhoti &amp; Angavastram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0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duct_pitam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/product/pitambari-dhoti-angavastram | Viewport: Desktop (1280px)</w:t>
        <w:br/>
        <w:t>Demonstrates the multi-image gallery with thumbnail selection, zoom capability, size selection, package inclusions breakdown, and technical tabs for verified Ahimsa mulberry silk composition and pure zari border specifications.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4: Product Detail — Roman Clerical Wool Cassock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0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duct_cass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/product/roman-clerical-wool-cassock | Viewport: Desktop (1280px)</w:t>
        <w:br/>
        <w:t>Demonstrates the ecclesiastical clerical cassock detail page featuring 33 hand-stitched cloth buttons, pure tropical worsted wool specifications, tailored chest sizing (38R-46R), and direct consultation CTA.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5: Shopping Bag &amp; Considered Order Breakdown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hopping_c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/cart | Viewport: Desktop (1280px)</w:t>
        <w:br/>
        <w:t>Demonstrates the shopping bag with live line item details, quantity adjustment controls, item removal, active voucher code application (ASTHA10 / ATELIER500), and subtotal calculation.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6: Checkout — Indian Delivery Address &amp; Payment Methods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2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heckout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/checkout | Viewport: Desktop (1280px)</w:t>
        <w:br/>
        <w:t>Demonstrates the guest checkout workflow with full Indian delivery fields (PIN code, state dropdown, street address), complimentary insured courier selection, and payment options (UPI, Credit/Debit Card, Net Banking).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7: About Us — Sacred Textile Craftsmanship Manifesto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318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bout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/about | Viewport: Desktop (1280px)</w:t>
        <w:br/>
        <w:t>Demonstrates the atelier manifesto detailing sacred textile sanctity, multi-generational Varanasi pit-loom guilds, and canonical exactitude across Vedic, Buddhist, and Roman liturgical traditions.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8: Contact Atelier — Sizing &amp; Consultation Desk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31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ontact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/contact | Viewport: Desktop (1280px)</w:t>
        <w:br/>
        <w:t>Demonstrates the interactive consultation form for custom ordination vestment measurements, parish commissions, direct atelier email, telephone, and physical weaving guild addresses.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9: Frequently Asked Questions — Canonical Guidance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318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faq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/faq | Viewport: Desktop (1280px)</w:t>
        <w:br/>
        <w:t>Demonstrates the interactive categorized FAQ accordion covering Ahimsa silk purity, Roman clerical sizing, diocesan feast day commissions, and insured pan-India delivery.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10: Mobile Responsive View — Homepage Hero &amp; Navigation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obile_home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 | Viewport: Mobile (390x844 iPhone Viewport)</w:t>
        <w:br/>
        <w:t>Demonstrates responsive mobile scaling, accessible top bar, hamburger navigation drawer trigger, and touch-friendly bottom TabBar.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11: Mobile Responsive View — Shop Catalogue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bile_sh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/shop | Viewport: Mobile (390x844 iPhone Viewport)</w:t>
        <w:br/>
        <w:t>Demonstrates mobile product catalogue grid with responsive card scaling, horizontally scrollable tradition chips, and mobile filter drawer trigger.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12: Dynamic XML Sitemap — Canonical URL Index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itemap_x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/sitemap.xml | Viewport: Desktop (1280px)</w:t>
        <w:br/>
        <w:t>Demonstrates the rendered XML sitemap containing all 18 canonical static and dynamic product URLs, calibrated priority ratings, and update frequencies.</w:t>
      </w:r>
    </w:p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0E0E0E"/>
          <w:sz w:val="26"/>
        </w:rPr>
        <w:t>Figure 13: Search Crawler Directives — Robots Configuration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657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obots_t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</w:pPr>
      <w:r>
        <w:rPr>
          <w:rFonts w:ascii="Arial" w:hAnsi="Arial"/>
          <w:color w:val="646464"/>
          <w:sz w:val="19"/>
        </w:rPr>
        <w:t>Route: /robots.txt | Viewport: Desktop (1280px)</w:t>
        <w:br/>
        <w:t>Demonstrates the live robots.txt directives properly shielding private utility routes (/cart, /checkout, /account, /wishlist) while referencing the production XML sitemap.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