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FAT TAILS, INSTITUTIONAL FLOW, AND THE LIMITS OF VOLATILITY</w:t>
      </w:r>
      <w:r>
        <w:rPr>
          <w:b/>
          <w:bCs/>
        </w:rPr>
        <w:t xml:space="preserve"> </w:t>
      </w:r>
      <w:r>
        <w:rPr>
          <w:b/>
          <w:bCs/>
        </w:rPr>
        <w:t xml:space="preserve">SIGNALS: DENSITY FORECASTING EVIDENCE FROM CUSTODIAN-LEVEL FOREIGN</w:t>
      </w:r>
      <w:r>
        <w:rPr>
          <w:b/>
          <w:bCs/>
        </w:rPr>
        <w:t xml:space="preserve"> </w:t>
      </w:r>
      <w:r>
        <w:rPr>
          <w:b/>
          <w:bCs/>
        </w:rPr>
        <w:t xml:space="preserve">INSTITUTIONAL TRADING IN INDIA</w:t>
      </w:r>
    </w:p>
    <w:p>
      <w:pPr>
        <w:pStyle w:val="BodyText"/>
      </w:pPr>
      <w:r>
        <w:rPr>
          <w:b/>
          <w:bCs/>
        </w:rPr>
        <w:t xml:space="preserve">Abstract</w:t>
      </w:r>
    </w:p>
    <w:p>
      <w:pPr>
        <w:pStyle w:val="BodyText"/>
      </w:pPr>
      <w:r>
        <w:rPr>
          <w:i/>
          <w:iCs/>
        </w:rPr>
        <w:t xml:space="preserve">Purpose:</w:t>
      </w:r>
      <w:r>
        <w:t xml:space="preserve"> </w:t>
      </w:r>
      <w:r>
        <w:t xml:space="preserve">This study examined whether the composition of foreign</w:t>
      </w:r>
      <w:r>
        <w:t xml:space="preserve"> </w:t>
      </w:r>
      <w:r>
        <w:t xml:space="preserve">institutional investor (FII) trading carried information about the risk of</w:t>
      </w:r>
      <w:r>
        <w:t xml:space="preserve"> </w:t>
      </w:r>
      <w:r>
        <w:t xml:space="preserve">Indian equities that standard volatility models did not already contain, and</w:t>
      </w:r>
      <w:r>
        <w:t xml:space="preserve"> </w:t>
      </w:r>
      <w:r>
        <w:t xml:space="preserve">whether any such information survived conversion into out-of-sample density</w:t>
      </w:r>
      <w:r>
        <w:t xml:space="preserve"> </w:t>
      </w:r>
      <w:r>
        <w:t xml:space="preserve">forecasts.</w:t>
      </w:r>
    </w:p>
    <w:p>
      <w:pPr>
        <w:pStyle w:val="BodyText"/>
      </w:pPr>
      <w:r>
        <w:rPr>
          <w:i/>
          <w:iCs/>
        </w:rPr>
        <w:t xml:space="preserve">Design/Methodology/Approach:</w:t>
      </w:r>
      <w:r>
        <w:t xml:space="preserve"> </w:t>
      </w:r>
      <w:r>
        <w:t xml:space="preserve">Fourteen years of masked custodian-level</w:t>
      </w:r>
      <w:r>
        <w:t xml:space="preserve"> </w:t>
      </w:r>
      <w:r>
        <w:t xml:space="preserve">FII transaction records (January 2011 to March 2025, approximately 24 million</w:t>
      </w:r>
      <w:r>
        <w:t xml:space="preserve"> </w:t>
      </w:r>
      <w:r>
        <w:t xml:space="preserve">trades) were merged with a corporate-action-adjusted price panel. A gap-aware</w:t>
      </w:r>
      <w:r>
        <w:t xml:space="preserve"> </w:t>
      </w:r>
      <w:r>
        <w:t xml:space="preserve">hidden Markov model classified daily flow composition, and an empirical,</w:t>
      </w:r>
      <w:r>
        <w:t xml:space="preserve"> </w:t>
      </w:r>
      <w:r>
        <w:t xml:space="preserve">past-only conditional density engine was estimated walk-forward under a strict</w:t>
      </w:r>
      <w:r>
        <w:t xml:space="preserve"> </w:t>
      </w:r>
      <w:r>
        <w:t xml:space="preserve">information embargo. Forecasts were scored using the continuous ranked</w:t>
      </w:r>
      <w:r>
        <w:t xml:space="preserve"> </w:t>
      </w:r>
      <w:r>
        <w:t xml:space="preserve">probability score, Kupiec and Christoffersen backtests, probability integral</w:t>
      </w:r>
      <w:r>
        <w:t xml:space="preserve"> </w:t>
      </w:r>
      <w:r>
        <w:t xml:space="preserve">transform uniformity, and Diebold–Mariano tests. Four hypotheses were</w:t>
      </w:r>
      <w:r>
        <w:t xml:space="preserve"> </w:t>
      </w:r>
      <w:r>
        <w:t xml:space="preserve">pre-registered before estimation, with pass criteria fixed in advance.</w:t>
      </w:r>
    </w:p>
    <w:p>
      <w:pPr>
        <w:pStyle w:val="BodyText"/>
      </w:pPr>
      <w:r>
        <w:rPr>
          <w:i/>
          <w:iCs/>
        </w:rPr>
        <w:t xml:space="preserve">Findings:</w:t>
      </w:r>
      <w:r>
        <w:t xml:space="preserve"> </w:t>
      </w:r>
      <w:r>
        <w:t xml:space="preserve">Flow composition added nothing to stock-day density forecasts.</w:t>
      </w:r>
      <w:r>
        <w:t xml:space="preserve"> </w:t>
      </w:r>
      <w:r>
        <w:t xml:space="preserve">The same engine nevertheless outperformed the Gaussian benchmark decisively:</w:t>
      </w:r>
      <w:r>
        <w:t xml:space="preserve"> </w:t>
      </w:r>
      <w:r>
        <w:t xml:space="preserve">per-stock Kupiec pass rates were 90.4% against 60.4%, because standardized</w:t>
      </w:r>
      <w:r>
        <w:t xml:space="preserve"> </w:t>
      </w:r>
      <w:r>
        <w:t xml:space="preserve">losses beyond four sigma occurred 85 times more often than a Gaussian implied.</w:t>
      </w:r>
      <w:r>
        <w:t xml:space="preserve"> </w:t>
      </w:r>
      <w:r>
        <w:t xml:space="preserve">Two flow effects survived. Institutional share of turnover predicted next-day</w:t>
      </w:r>
      <w:r>
        <w:t xml:space="preserve"> </w:t>
      </w:r>
      <w:r>
        <w:t xml:space="preserve">volatility, and aggregate FII inflow improved market-level risk forecasts, but</w:t>
      </w:r>
      <w:r>
        <w:t xml:space="preserve"> </w:t>
      </w:r>
      <w:r>
        <w:t xml:space="preserve">the effect vanished against a competitive asymmetric GARCH benchmark.</w:t>
      </w:r>
    </w:p>
    <w:p>
      <w:pPr>
        <w:pStyle w:val="BodyText"/>
      </w:pPr>
      <w:r>
        <w:rPr>
          <w:i/>
          <w:iCs/>
        </w:rPr>
        <w:t xml:space="preserve">Practical Implications:</w:t>
      </w:r>
      <w:r>
        <w:t xml:space="preserve"> </w:t>
      </w:r>
      <w:r>
        <w:t xml:space="preserve">Gaussian value-at-risk systems materially</w:t>
      </w:r>
      <w:r>
        <w:t xml:space="preserve"> </w:t>
      </w:r>
      <w:r>
        <w:t xml:space="preserve">understate Indian equity tail risk. Regression significance is a weak guide to</w:t>
      </w:r>
      <w:r>
        <w:t xml:space="preserve"> </w:t>
      </w:r>
      <w:r>
        <w:t xml:space="preserve">forecasting value.</w:t>
      </w:r>
    </w:p>
    <w:p>
      <w:pPr>
        <w:pStyle w:val="BodyText"/>
      </w:pPr>
      <w:r>
        <w:rPr>
          <w:i/>
          <w:iCs/>
        </w:rPr>
        <w:t xml:space="preserve">Originality/Value:</w:t>
      </w:r>
      <w:r>
        <w:t xml:space="preserve"> </w:t>
      </w:r>
      <w:r>
        <w:t xml:space="preserve">Composition-based, pre-registered density evaluation</w:t>
      </w:r>
      <w:r>
        <w:t xml:space="preserve"> </w:t>
      </w:r>
      <w:r>
        <w:t xml:space="preserve">of institutional flow in an emerging market.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density forecasting, foreign institutional investors,</w:t>
      </w:r>
      <w:r>
        <w:t xml:space="preserve"> </w:t>
      </w:r>
      <w:r>
        <w:t xml:space="preserve">value-at-risk, tail risk, pre-registration, emerging markets</w:t>
      </w:r>
    </w:p>
    <w:p>
      <w:pPr>
        <w:pStyle w:val="BodyText"/>
      </w:pPr>
      <w:r>
        <w:rPr>
          <w:b/>
          <w:bCs/>
        </w:rPr>
        <w:t xml:space="preserve">JEL Classification Codes:</w:t>
      </w:r>
      <w:r>
        <w:t xml:space="preserve"> </w:t>
      </w:r>
      <w:r>
        <w:t xml:space="preserve">C58, G15, G17</w:t>
      </w:r>
    </w:p>
    <w:p>
      <w:pPr>
        <w:pStyle w:val="BodyText"/>
      </w:pPr>
      <w:r>
        <w:rPr>
          <w:b/>
          <w:bCs/>
        </w:rPr>
        <w:t xml:space="preserve">Paper Submission Date:</w:t>
      </w:r>
      <w:r>
        <w:t xml:space="preserve"> </w:t>
      </w:r>
      <w:r>
        <w:t xml:space="preserve">[INSERT]</w:t>
      </w:r>
    </w:p>
    <w:p>
      <w:pPr>
        <w:pStyle w:val="BodyText"/>
      </w:pPr>
      <w:r>
        <w:rPr>
          <w:b/>
          <w:bCs/>
        </w:rPr>
        <w:t xml:space="preserve">Paper Sent Back for Revision:</w:t>
      </w:r>
      <w:r>
        <w:t xml:space="preserve"> </w:t>
      </w:r>
      <w:r>
        <w:t xml:space="preserve">[INSERT]</w:t>
      </w:r>
    </w:p>
    <w:p>
      <w:pPr>
        <w:pStyle w:val="BodyText"/>
      </w:pPr>
      <w:r>
        <w:rPr>
          <w:b/>
          <w:bCs/>
        </w:rPr>
        <w:t xml:space="preserve">Paper Acceptance Date:</w:t>
      </w:r>
      <w:r>
        <w:t xml:space="preserve"> </w:t>
      </w:r>
      <w:r>
        <w:t xml:space="preserve">[INSERT]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Foreign institutional investors have been the most closely watched marginal</w:t>
      </w:r>
      <w:r>
        <w:t xml:space="preserve"> </w:t>
      </w:r>
      <w:r>
        <w:t xml:space="preserve">participant in Indian equities for three decades. Regulators publish their</w:t>
      </w:r>
      <w:r>
        <w:t xml:space="preserve"> </w:t>
      </w:r>
      <w:r>
        <w:t xml:space="preserve">aggregate daily net purchases, financial media treat those figures as a</w:t>
      </w:r>
      <w:r>
        <w:t xml:space="preserve"> </w:t>
      </w:r>
      <w:r>
        <w:t xml:space="preserve">sentiment barometer, and a substantial literature reports that FII flows</w:t>
      </w:r>
      <w:r>
        <w:t xml:space="preserve"> </w:t>
      </w:r>
      <w:r>
        <w:t xml:space="preserve">co-move with returns and volatility. Almost all of that literature works with</w:t>
      </w:r>
      <w:r>
        <w:t xml:space="preserve"> </w:t>
      </w:r>
      <w:r>
        <w:t xml:space="preserve">a single aggregate rupee number per day. The underlying regulatory records,</w:t>
      </w:r>
      <w:r>
        <w:t xml:space="preserve"> </w:t>
      </w:r>
      <w:r>
        <w:t xml:space="preserve">however, are far richer: every trade is reported at the custodian level, so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composition</w:t>
      </w:r>
      <w:r>
        <w:t xml:space="preserve"> </w:t>
      </w:r>
      <w:r>
        <w:t xml:space="preserve">of institutional trading, that is, how many distinct</w:t>
      </w:r>
      <w:r>
        <w:t xml:space="preserve"> </w:t>
      </w:r>
      <w:r>
        <w:t xml:space="preserve">institutions were active, how concentrated their participation was, and</w:t>
      </w:r>
      <w:r>
        <w:t xml:space="preserve"> </w:t>
      </w:r>
      <w:r>
        <w:t xml:space="preserve">whether they were buying or selling, is observable in principle.</w:t>
      </w:r>
    </w:p>
    <w:p>
      <w:pPr>
        <w:pStyle w:val="BodyText"/>
      </w:pPr>
      <w:r>
        <w:t xml:space="preserve">This study asked whether that composition carried risk information beyond what</w:t>
      </w:r>
      <w:r>
        <w:t xml:space="preserve"> </w:t>
      </w:r>
      <w:r>
        <w:t xml:space="preserve">a conventional volatility model already knew. The question matters because it</w:t>
      </w:r>
      <w:r>
        <w:t xml:space="preserve"> </w:t>
      </w:r>
      <w:r>
        <w:t xml:space="preserve">separates two claims that are routinely conflated. The first is that flow</w:t>
      </w:r>
      <w:r>
        <w:t xml:space="preserve"> </w:t>
      </w:r>
      <w:r>
        <w:t xml:space="preserve">correlates with subsequent volatility, which is a statement about a regression</w:t>
      </w:r>
      <w:r>
        <w:t xml:space="preserve"> </w:t>
      </w:r>
      <w:r>
        <w:t xml:space="preserve">coefficient. The second is that flow improves a risk forecast, which is a</w:t>
      </w:r>
      <w:r>
        <w:t xml:space="preserve"> </w:t>
      </w:r>
      <w:r>
        <w:t xml:space="preserve">statement about an out-of-sample loss function and is what a risk manager</w:t>
      </w:r>
      <w:r>
        <w:t xml:space="preserve"> </w:t>
      </w:r>
      <w:r>
        <w:t xml:space="preserve">actually needs. The distance between the two claims is the central concern of</w:t>
      </w:r>
      <w:r>
        <w:t xml:space="preserve"> </w:t>
      </w:r>
      <w:r>
        <w:t xml:space="preserve">this paper.</w:t>
      </w:r>
    </w:p>
    <w:p>
      <w:pPr>
        <w:pStyle w:val="BodyText"/>
      </w:pPr>
      <w:r>
        <w:t xml:space="preserve">The study was designed so that a negative answer would be as informative as a</w:t>
      </w:r>
      <w:r>
        <w:t xml:space="preserve"> </w:t>
      </w:r>
      <w:r>
        <w:t xml:space="preserve">positive one. Four hypotheses were pre-registered with pass criteria fixed in</w:t>
      </w:r>
      <w:r>
        <w:t xml:space="preserve"> </w:t>
      </w:r>
      <w:r>
        <w:t xml:space="preserve">advance, and every attempt is reported here, including three that failed. The</w:t>
      </w:r>
      <w:r>
        <w:t xml:space="preserve"> </w:t>
      </w:r>
      <w:r>
        <w:t xml:space="preserve">evaluation used proper scoring rules rather than significance tests alone,</w:t>
      </w:r>
      <w:r>
        <w:t xml:space="preserve"> </w:t>
      </w:r>
      <w:r>
        <w:t xml:space="preserve">because a proper scoring rule is the only instrument that answers the question</w:t>
      </w:r>
      <w:r>
        <w:t xml:space="preserve"> </w:t>
      </w:r>
      <w:r>
        <w:t xml:space="preserve">a practitioner asks.</w:t>
      </w:r>
    </w:p>
    <w:p>
      <w:pPr>
        <w:pStyle w:val="BodyText"/>
      </w:pPr>
      <w:r>
        <w:t xml:space="preserve">Three results emerged. Flow composition added nothing to stock-day density</w:t>
      </w:r>
      <w:r>
        <w:t xml:space="preserve"> </w:t>
      </w:r>
      <w:r>
        <w:t xml:space="preserve">forecasts, a finding established with power to detect very small effects. The</w:t>
      </w:r>
      <w:r>
        <w:t xml:space="preserve"> </w:t>
      </w:r>
      <w:r>
        <w:t xml:space="preserve">forecasting machinery built to test that hypothesis nevertheless outperformed</w:t>
      </w:r>
      <w:r>
        <w:t xml:space="preserve"> </w:t>
      </w:r>
      <w:r>
        <w:t xml:space="preserve">the standard Gaussian benchmark by a wide margin, for a reason unrelated to</w:t>
      </w:r>
      <w:r>
        <w:t xml:space="preserve"> </w:t>
      </w:r>
      <w:r>
        <w:t xml:space="preserve">institutional flow: Indian equity returns, even after standardization by a</w:t>
      </w:r>
      <w:r>
        <w:t xml:space="preserve"> </w:t>
      </w:r>
      <w:r>
        <w:t xml:space="preserve">conditional volatility estimate, are far more extreme than a normal</w:t>
      </w:r>
      <w:r>
        <w:t xml:space="preserve"> </w:t>
      </w:r>
      <w:r>
        <w:t xml:space="preserve">distribution admits. Finally, two genuine flow effects were isolated at</w:t>
      </w:r>
      <w:r>
        <w:t xml:space="preserve"> </w:t>
      </w:r>
      <w:r>
        <w:t xml:space="preserve">different levels of aggregation, one cross-sectional and one at the market</w:t>
      </w:r>
      <w:r>
        <w:t xml:space="preserve"> </w:t>
      </w:r>
      <w:r>
        <w:t xml:space="preserve">level, and the boundary at which each stopped being useful was measured</w:t>
      </w:r>
      <w:r>
        <w:t xml:space="preserve"> </w:t>
      </w:r>
      <w:r>
        <w:t xml:space="preserve">precisely.</w:t>
      </w:r>
    </w:p>
    <w:bookmarkEnd w:id="9"/>
    <w:bookmarkStart w:id="10" w:name="review-of-literature"/>
    <w:p>
      <w:pPr>
        <w:pStyle w:val="Heading1"/>
      </w:pPr>
      <w:r>
        <w:t xml:space="preserve">REVIEW OF LITERATURE</w:t>
      </w:r>
    </w:p>
    <w:p>
      <w:pPr>
        <w:pStyle w:val="FirstParagraph"/>
      </w:pPr>
      <w:r>
        <w:rPr>
          <w:b/>
          <w:bCs/>
          <w:i/>
          <w:iCs/>
        </w:rPr>
        <w:t xml:space="preserve">Institutional Flow and Emerging Market Prices</w:t>
      </w:r>
    </w:p>
    <w:p>
      <w:pPr>
        <w:pStyle w:val="BodyText"/>
      </w:pPr>
      <w:r>
        <w:t xml:space="preserve">The foundational work on foreign participation in emerging markets established</w:t>
      </w:r>
      <w:r>
        <w:t xml:space="preserve"> </w:t>
      </w:r>
      <w:r>
        <w:t xml:space="preserve">that liberalization affected the cost of capital and volatility structure of</w:t>
      </w:r>
      <w:r>
        <w:t xml:space="preserve"> </w:t>
      </w:r>
      <w:r>
        <w:t xml:space="preserve">local markets (Bekaert &amp; Harvey, 2000). Subsequent research documented that</w:t>
      </w:r>
      <w:r>
        <w:t xml:space="preserve"> </w:t>
      </w:r>
      <w:r>
        <w:t xml:space="preserve">international investor flows exhibit strong persistence and that portfolio</w:t>
      </w:r>
      <w:r>
        <w:t xml:space="preserve"> </w:t>
      </w:r>
      <w:r>
        <w:t xml:space="preserve">flows into emerging markets responded to, and partially forecast, local</w:t>
      </w:r>
      <w:r>
        <w:t xml:space="preserve"> </w:t>
      </w:r>
      <w:r>
        <w:t xml:space="preserve">returns (Froot et al., 2001). For India specifically, the relationship between</w:t>
      </w:r>
      <w:r>
        <w:t xml:space="preserve"> </w:t>
      </w:r>
      <w:r>
        <w:t xml:space="preserve">foreign flows and volatility has been examined repeatedly. Foreign</w:t>
      </w:r>
      <w:r>
        <w:t xml:space="preserve"> </w:t>
      </w:r>
      <w:r>
        <w:t xml:space="preserve">institutional investment has been linked to stock market volatility using</w:t>
      </w:r>
      <w:r>
        <w:t xml:space="preserve"> </w:t>
      </w:r>
      <w:r>
        <w:t xml:space="preserve">conditional heteroskedasticity models (Dadhich et al., 2015), asymmetric</w:t>
      </w:r>
      <w:r>
        <w:t xml:space="preserve"> </w:t>
      </w:r>
      <w:r>
        <w:t xml:space="preserve">volatility responses to portfolio flows have been documented (Varughese &amp;</w:t>
      </w:r>
      <w:r>
        <w:t xml:space="preserve"> </w:t>
      </w:r>
      <w:r>
        <w:t xml:space="preserve">Mathew, 2017), and the association between institutional flows and implied</w:t>
      </w:r>
      <w:r>
        <w:t xml:space="preserve"> </w:t>
      </w:r>
      <w:r>
        <w:t xml:space="preserve">volatility has been examined in the derivatives segment (Sharma et al.,</w:t>
      </w:r>
      <w:r>
        <w:t xml:space="preserve"> </w:t>
      </w:r>
      <w:r>
        <w:t xml:space="preserve">2023). These studies share two features: they use aggregate flow magnitudes,</w:t>
      </w:r>
      <w:r>
        <w:t xml:space="preserve"> </w:t>
      </w:r>
      <w:r>
        <w:t xml:space="preserve">and they evaluate in-sample coefficients rather than out-of-sample forecasts.</w:t>
      </w:r>
    </w:p>
    <w:p>
      <w:pPr>
        <w:pStyle w:val="BodyText"/>
      </w:pPr>
      <w:r>
        <w:t xml:space="preserve">A parallel literature examined institutional trading at the transaction level,</w:t>
      </w:r>
      <w:r>
        <w:t xml:space="preserve"> </w:t>
      </w:r>
      <w:r>
        <w:t xml:space="preserve">finding that institutional herding and correlated trading affect prices, and</w:t>
      </w:r>
      <w:r>
        <w:t xml:space="preserve"> </w:t>
      </w:r>
      <w:r>
        <w:t xml:space="preserve">that the price impact of institutional trades separates into transitory and</w:t>
      </w:r>
      <w:r>
        <w:t xml:space="preserve"> </w:t>
      </w:r>
      <w:r>
        <w:t xml:space="preserve">permanent components (Sias, 2004). The microstructure tradition provides the</w:t>
      </w:r>
      <w:r>
        <w:t xml:space="preserve"> </w:t>
      </w:r>
      <w:r>
        <w:t xml:space="preserve">identification logic: the probability of informed trading can be estimated</w:t>
      </w:r>
      <w:r>
        <w:t xml:space="preserve"> </w:t>
      </w:r>
      <w:r>
        <w:t xml:space="preserve">from order-flow counts alone (Easley et al., 1996), which offers a route to</w:t>
      </w:r>
      <w:r>
        <w:t xml:space="preserve"> </w:t>
      </w:r>
      <w:r>
        <w:t xml:space="preserve">distinguishing information-driven from liquidity-driven institutional</w:t>
      </w:r>
      <w:r>
        <w:t xml:space="preserve"> </w:t>
      </w:r>
      <w:r>
        <w:t xml:space="preserve">activity without observing prices.</w:t>
      </w:r>
    </w:p>
    <w:p>
      <w:pPr>
        <w:pStyle w:val="BodyText"/>
      </w:pPr>
      <w:r>
        <w:rPr>
          <w:b/>
          <w:bCs/>
          <w:i/>
          <w:iCs/>
        </w:rPr>
        <w:t xml:space="preserve">Volatility Modelling and Density Evaluation</w:t>
      </w:r>
    </w:p>
    <w:p>
      <w:pPr>
        <w:pStyle w:val="BodyText"/>
      </w:pPr>
      <w:r>
        <w:t xml:space="preserve">The benchmark against which any volatility claim must be judged is well</w:t>
      </w:r>
      <w:r>
        <w:t xml:space="preserve"> </w:t>
      </w:r>
      <w:r>
        <w:t xml:space="preserve">established. Generalized autoregressive conditional heteroskedasticity</w:t>
      </w:r>
      <w:r>
        <w:t xml:space="preserve"> </w:t>
      </w:r>
      <w:r>
        <w:t xml:space="preserve">(Bollerslev, 1986) and its asymmetric extension, which allows negative returns</w:t>
      </w:r>
      <w:r>
        <w:t xml:space="preserve"> </w:t>
      </w:r>
      <w:r>
        <w:t xml:space="preserve">to raise conditional variance more than positive ones (Glosten et al., 1993),</w:t>
      </w:r>
      <w:r>
        <w:t xml:space="preserve"> </w:t>
      </w:r>
      <w:r>
        <w:t xml:space="preserve">remain difficult to beat. Comparative evidence suggests that a simple</w:t>
      </w:r>
      <w:r>
        <w:t xml:space="preserve"> </w:t>
      </w:r>
      <w:r>
        <w:t xml:space="preserve">GARCH(1,1) is rarely outperformed by more elaborate specifications in</w:t>
      </w:r>
      <w:r>
        <w:t xml:space="preserve"> </w:t>
      </w:r>
      <w:r>
        <w:t xml:space="preserve">out-of-sample forecasting (Hansen &amp; Lunde, 2005), which sets a high bar for</w:t>
      </w:r>
      <w:r>
        <w:t xml:space="preserve"> </w:t>
      </w:r>
      <w:r>
        <w:t xml:space="preserve">any claimed improvement.</w:t>
      </w:r>
    </w:p>
    <w:p>
      <w:pPr>
        <w:pStyle w:val="BodyText"/>
      </w:pPr>
      <w:r>
        <w:t xml:space="preserve">Evaluation methodology is equally settled. Interval forecasts are assessed</w:t>
      </w:r>
      <w:r>
        <w:t xml:space="preserve"> </w:t>
      </w:r>
      <w:r>
        <w:t xml:space="preserve">through unconditional coverage (Kupiec, 1995) and conditional coverage tests</w:t>
      </w:r>
      <w:r>
        <w:t xml:space="preserve"> </w:t>
      </w:r>
      <w:r>
        <w:t xml:space="preserve">that detect clustering of violations (Christoffersen, 1998). Full predictive</w:t>
      </w:r>
      <w:r>
        <w:t xml:space="preserve"> </w:t>
      </w:r>
      <w:r>
        <w:t xml:space="preserve">densities require strictly proper scoring rules, of which the continuous</w:t>
      </w:r>
      <w:r>
        <w:t xml:space="preserve"> </w:t>
      </w:r>
      <w:r>
        <w:t xml:space="preserve">ranked probability score is the standard choice (Gneiting &amp; Raftery, 2007).</w:t>
      </w:r>
      <w:r>
        <w:t xml:space="preserve"> </w:t>
      </w:r>
      <w:r>
        <w:t xml:space="preserve">Comparisons between competing forecasts rest on tests of equal predictive</w:t>
      </w:r>
      <w:r>
        <w:t xml:space="preserve"> </w:t>
      </w:r>
      <w:r>
        <w:t xml:space="preserve">accuracy (Diebold &amp; Mariano, 1995), implemented with</w:t>
      </w:r>
      <w:r>
        <w:t xml:space="preserve"> </w:t>
      </w:r>
      <w:r>
        <w:t xml:space="preserve">heteroskedasticity-and-autocorrelation-consistent standard errors (Newey &amp;</w:t>
      </w:r>
      <w:r>
        <w:t xml:space="preserve"> </w:t>
      </w:r>
      <w:r>
        <w:t xml:space="preserve">West, 1987).</w:t>
      </w:r>
    </w:p>
    <w:p>
      <w:pPr>
        <w:pStyle w:val="BodyText"/>
      </w:pPr>
      <w:r>
        <w:rPr>
          <w:b/>
          <w:bCs/>
          <w:i/>
          <w:iCs/>
        </w:rPr>
        <w:t xml:space="preserve">Tail Risk</w:t>
      </w:r>
    </w:p>
    <w:p>
      <w:pPr>
        <w:pStyle w:val="BodyText"/>
      </w:pPr>
      <w:r>
        <w:t xml:space="preserve">A recurring finding is that conditional normality fails in the tails even</w:t>
      </w:r>
      <w:r>
        <w:t xml:space="preserve"> </w:t>
      </w:r>
      <w:r>
        <w:t xml:space="preserve">after volatility standardization. Extreme value methods applied to</w:t>
      </w:r>
      <w:r>
        <w:t xml:space="preserve"> </w:t>
      </w:r>
      <w:r>
        <w:t xml:space="preserve">heteroskedastic financial series produce materially different tail estimates</w:t>
      </w:r>
      <w:r>
        <w:t xml:space="preserve"> </w:t>
      </w:r>
      <w:r>
        <w:t xml:space="preserve">from Gaussian ones (McNeil &amp; Frey, 2000), and the practical consequence is</w:t>
      </w:r>
      <w:r>
        <w:t xml:space="preserve"> </w:t>
      </w:r>
      <w:r>
        <w:t xml:space="preserve">that Gaussian value-at-risk systems understate capital requirements in exactly</w:t>
      </w:r>
      <w:r>
        <w:t xml:space="preserve"> </w:t>
      </w:r>
      <w:r>
        <w:t xml:space="preserve">the region where losses concentrate.</w:t>
      </w:r>
    </w:p>
    <w:p>
      <w:pPr>
        <w:pStyle w:val="BodyText"/>
      </w:pPr>
      <w:r>
        <w:rPr>
          <w:b/>
          <w:bCs/>
          <w:i/>
          <w:iCs/>
        </w:rPr>
        <w:t xml:space="preserve">The Research Gap</w:t>
      </w:r>
    </w:p>
    <w:p>
      <w:pPr>
        <w:pStyle w:val="BodyText"/>
      </w:pPr>
      <w:r>
        <w:t xml:space="preserve">Three gaps motivated this study. First, the Indian FII literature works almost</w:t>
      </w:r>
      <w:r>
        <w:t xml:space="preserve"> </w:t>
      </w:r>
      <w:r>
        <w:t xml:space="preserve">exclusively with aggregate flow magnitudes; the composition of that flow has</w:t>
      </w:r>
      <w:r>
        <w:t xml:space="preserve"> </w:t>
      </w:r>
      <w:r>
        <w:t xml:space="preserve">not been evaluated as a risk variable. Second, that literature reports</w:t>
      </w:r>
      <w:r>
        <w:t xml:space="preserve"> </w:t>
      </w:r>
      <w:r>
        <w:t xml:space="preserve">regression coefficients rather than out-of-sample density performance, so it</w:t>
      </w:r>
      <w:r>
        <w:t xml:space="preserve"> </w:t>
      </w:r>
      <w:r>
        <w:t xml:space="preserve">is unknown whether reported significance would survive conversion into a</w:t>
      </w:r>
      <w:r>
        <w:t xml:space="preserve"> </w:t>
      </w:r>
      <w:r>
        <w:t xml:space="preserve">forecast. Third, pre-registration is essentially absent from this literature,</w:t>
      </w:r>
      <w:r>
        <w:t xml:space="preserve"> </w:t>
      </w:r>
      <w:r>
        <w:t xml:space="preserve">which makes published effect sizes difficult to interpret given the number of</w:t>
      </w:r>
      <w:r>
        <w:t xml:space="preserve"> </w:t>
      </w:r>
      <w:r>
        <w:t xml:space="preserve">specifications available to a researcher.</w:t>
      </w:r>
    </w:p>
    <w:bookmarkEnd w:id="10"/>
    <w:bookmarkStart w:id="11" w:name="data-and-methodology"/>
    <w:p>
      <w:pPr>
        <w:pStyle w:val="Heading1"/>
      </w:pPr>
      <w:r>
        <w:t xml:space="preserve">DATA AND METHODOLOGY</w:t>
      </w:r>
    </w:p>
    <w:p>
      <w:pPr>
        <w:pStyle w:val="FirstParagraph"/>
      </w:pPr>
      <w:r>
        <w:rPr>
          <w:b/>
          <w:bCs/>
          <w:i/>
          <w:iCs/>
        </w:rPr>
        <w:t xml:space="preserve">Data</w:t>
      </w:r>
    </w:p>
    <w:p>
      <w:pPr>
        <w:pStyle w:val="BodyText"/>
      </w:pPr>
      <w:r>
        <w:t xml:space="preserve">The primary source was a masked custodian-level record of foreign</w:t>
      </w:r>
      <w:r>
        <w:t xml:space="preserve"> </w:t>
      </w:r>
      <w:r>
        <w:t xml:space="preserve">institutional transactions in Indian equities covering January 2011 through</w:t>
      </w:r>
      <w:r>
        <w:t xml:space="preserve"> </w:t>
      </w:r>
      <w:r>
        <w:t xml:space="preserve">March 2025, comprising approximately 24 million trades. Each record carries a</w:t>
      </w:r>
      <w:r>
        <w:t xml:space="preserve"> </w:t>
      </w:r>
      <w:r>
        <w:t xml:space="preserve">masked entity identifier, security identifier, trade date, direction, quantity,</w:t>
      </w:r>
      <w:r>
        <w:t xml:space="preserve"> </w:t>
      </w:r>
      <w:r>
        <w:t xml:space="preserve">and value. Only equity buy and sell trades with a positive rate were retained.</w:t>
      </w:r>
      <w:r>
        <w:t xml:space="preserve"> </w:t>
      </w:r>
      <w:r>
        <w:t xml:space="preserve">These were merged with a daily price panel constructed from exchange</w:t>
      </w:r>
      <w:r>
        <w:t xml:space="preserve"> </w:t>
      </w:r>
      <w:r>
        <w:t xml:space="preserve">bhavcopies and adjusted for corporate actions, together with the India VIX,</w:t>
      </w:r>
      <w:r>
        <w:t xml:space="preserve"> </w:t>
      </w:r>
      <w:r>
        <w:t xml:space="preserve">the Nifty 50 index, and the rupee–dollar exchange rate.</w:t>
      </w:r>
    </w:p>
    <w:p>
      <w:pPr>
        <w:pStyle w:val="BodyText"/>
      </w:pPr>
      <w:r>
        <w:t xml:space="preserve">The sample was split at a frozen boundary. The training era ended 30 April</w:t>
      </w:r>
      <w:r>
        <w:t xml:space="preserve"> </w:t>
      </w:r>
      <w:r>
        <w:t xml:space="preserve">2021 and the test era began 1 July 2021, with the intervening two months</w:t>
      </w:r>
      <w:r>
        <w:t xml:space="preserve"> </w:t>
      </w:r>
      <w:r>
        <w:t xml:space="preserve">excluded because the source feed contains no records for them. This split was</w:t>
      </w:r>
      <w:r>
        <w:t xml:space="preserve"> </w:t>
      </w:r>
      <w:r>
        <w:t xml:space="preserve">fixed before any modelling and was never revisited. The training era contains</w:t>
      </w:r>
      <w:r>
        <w:t xml:space="preserve"> </w:t>
      </w:r>
      <w:r>
        <w:t xml:space="preserve">508,563 stock-days across 618 securities; the test era contains 294,243</w:t>
      </w:r>
      <w:r>
        <w:t xml:space="preserve"> </w:t>
      </w:r>
      <w:r>
        <w:t xml:space="preserve">stock-days across 851 securities. The test era is therefore a different</w:t>
      </w:r>
      <w:r>
        <w:t xml:space="preserve"> </w:t>
      </w:r>
      <w:r>
        <w:t xml:space="preserve">universe rather than a repeated sample, which strengthens any out-of-sample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Three further months (June, September, and November 2023) carry a completely</w:t>
      </w:r>
      <w:r>
        <w:t xml:space="preserve"> </w:t>
      </w:r>
      <w:r>
        <w:t xml:space="preserve">null trade-direction field in the source archive, affecting 3.0% of trades.</w:t>
      </w:r>
      <w:r>
        <w:t xml:space="preserve"> </w:t>
      </w:r>
      <w:r>
        <w:t xml:space="preserve">These were excluded rather than imputed, since imputing direction would</w:t>
      </w:r>
      <w:r>
        <w:t xml:space="preserve"> </w:t>
      </w:r>
      <w:r>
        <w:t xml:space="preserve">fabricate the dependent construct of the study. All exclusions fall inside the</w:t>
      </w:r>
      <w:r>
        <w:t xml:space="preserve"> </w:t>
      </w:r>
      <w:r>
        <w:t xml:space="preserve">test era and are reported rather than silently dropped.</w:t>
      </w:r>
    </w:p>
    <w:p>
      <w:pPr>
        <w:pStyle w:val="BodyText"/>
      </w:pPr>
      <w:r>
        <w:rPr>
          <w:b/>
          <w:bCs/>
          <w:i/>
          <w:iCs/>
        </w:rPr>
        <w:t xml:space="preserve">Flow Composition and the State Model</w:t>
      </w:r>
    </w:p>
    <w:p>
      <w:pPr>
        <w:pStyle w:val="BodyText"/>
      </w:pPr>
      <w:r>
        <w:t xml:space="preserve">Daily flow features were computed within each stock-day and rank-normalized</w:t>
      </w:r>
      <w:r>
        <w:t xml:space="preserve"> </w:t>
      </w:r>
      <w:r>
        <w:t xml:space="preserve">across the cross-section, which by construction removes level information and</w:t>
      </w:r>
      <w:r>
        <w:t xml:space="preserve"> </w:t>
      </w:r>
      <w:r>
        <w:t xml:space="preserve">isolates composition. A three-state Gaussian hidden Markov model in the</w:t>
      </w:r>
      <w:r>
        <w:t xml:space="preserve"> </w:t>
      </w:r>
      <w:r>
        <w:t xml:space="preserve">regime-switching tradition (Hamilton, 1989) was estimated on these features. Because the FII feed contains gaps of varying length, the</w:t>
      </w:r>
      <w:r>
        <w:t xml:space="preserve"> </w:t>
      </w:r>
      <w:r>
        <w:t xml:space="preserve">transition matrix was raised to the power of the number of elapsed trading</w:t>
      </w:r>
      <w:r>
        <w:t xml:space="preserve"> </w:t>
      </w:r>
      <w:r>
        <w:t xml:space="preserve">days between observations, so that state belief decays correctly across</w:t>
      </w:r>
      <w:r>
        <w:t xml:space="preserve"> </w:t>
      </w:r>
      <w:r>
        <w:t xml:space="preserve">holes rather than advancing one step per observation. Model parameters were</w:t>
      </w:r>
      <w:r>
        <w:t xml:space="preserve"> </w:t>
      </w:r>
      <w:r>
        <w:t xml:space="preserve">re-estimated walk-forward, producing a sequence of parameter vintages, each</w:t>
      </w:r>
      <w:r>
        <w:t xml:space="preserve"> </w:t>
      </w:r>
      <w:r>
        <w:t xml:space="preserve">of which used only data available at its own as-of date.</w:t>
      </w:r>
    </w:p>
    <w:p>
      <w:pPr>
        <w:pStyle w:val="BodyText"/>
      </w:pPr>
      <w:r>
        <w:rPr>
          <w:b/>
          <w:bCs/>
          <w:i/>
          <w:iCs/>
        </w:rPr>
        <w:t xml:space="preserve">The Density Forecasting Engine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</m:sSub>
      </m:oMath>
      <w:r>
        <w:t xml:space="preserve"> </w:t>
      </w:r>
      <w:r>
        <w:t xml:space="preserve">denote the</w:t>
      </w:r>
      <w:r>
        <w:t xml:space="preserve"> </w:t>
      </w:r>
      <m:oMath>
        <m:r>
          <m:t>h</m:t>
        </m:r>
      </m:oMath>
      <w:r>
        <w:t xml:space="preserve">-day forward return of stock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an exponentially weighted volatility estimate computed from</w:t>
      </w:r>
      <w:r>
        <w:t xml:space="preserve"> </w:t>
      </w:r>
      <w:r>
        <w:t xml:space="preserve">past returns only. The standardized outcome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engine estimates the conditional density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non-parametrically from</w:t>
      </w:r>
      <w:r>
        <w:t xml:space="preserve"> </w:t>
      </w:r>
      <w:r>
        <w:t xml:space="preserve">matured past outcomes, weighted by the posterior probability that stock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occupied each flow-composition state on day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A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filtered posterior over archetypes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the empirical density of standardized outcomes historically</w:t>
      </w:r>
      <w:r>
        <w:t xml:space="preserve"> </w:t>
      </w:r>
      <w:r>
        <w:t xml:space="preserve">associated with archetype</w:t>
      </w:r>
      <w:r>
        <w:t xml:space="preserve"> </w:t>
      </w:r>
      <m:oMath>
        <m:r>
          <m:t>a</m:t>
        </m:r>
      </m:oMath>
      <w:r>
        <w:t xml:space="preserve">. Every outcome entering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≤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</m:oMath>
      <w:r>
        <w:t xml:space="preserve">, so no forecast can use an outcome that had not</w:t>
      </w:r>
      <w:r>
        <w:t xml:space="preserve"> </w:t>
      </w:r>
      <w:r>
        <w:t xml:space="preserve">matured at the time the forecast was made. The benchmark replaces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with the standard normal, giving the conventional</w:t>
      </w:r>
      <w:r>
        <w:t xml:space="preserve"> </w:t>
      </w:r>
      <w:r>
        <w:t xml:space="preserve">exponentially weighted moving average value-at-risk engine used throughout the</w:t>
      </w:r>
      <w:r>
        <w:t xml:space="preserve"> </w:t>
      </w:r>
      <w:r>
        <w:t xml:space="preserve">industry.</w:t>
      </w:r>
    </w:p>
    <w:p>
      <w:pPr>
        <w:pStyle w:val="BodyText"/>
      </w:pPr>
      <w:r>
        <w:t xml:space="preserve">The critical control is a variant in which the archetype weights are replaced</w:t>
      </w:r>
      <w:r>
        <w:t xml:space="preserve"> </w:t>
      </w:r>
      <w:r>
        <w:t xml:space="preserve">by their unconditional climatological values, holding all other machinery</w:t>
      </w:r>
      <w:r>
        <w:t xml:space="preserve"> </w:t>
      </w:r>
      <w:r>
        <w:t xml:space="preserve">fixed. Comparing the conditional engine against this control isolates the</w:t>
      </w:r>
      <w:r>
        <w:t xml:space="preserve"> </w:t>
      </w:r>
      <w:r>
        <w:t xml:space="preserve">contribution of flow information from the contribution of distributional</w:t>
      </w:r>
      <w:r>
        <w:t xml:space="preserve"> </w:t>
      </w:r>
      <w:r>
        <w:t xml:space="preserve">shape.</w:t>
      </w:r>
    </w:p>
    <w:p>
      <w:pPr>
        <w:pStyle w:val="BodyText"/>
      </w:pPr>
      <w:r>
        <w:rPr>
          <w:b/>
          <w:bCs/>
          <w:i/>
          <w:iCs/>
        </w:rPr>
        <w:t xml:space="preserve">Market-Level Engine</w:t>
      </w:r>
    </w:p>
    <w:p>
      <w:pPr>
        <w:pStyle w:val="BodyText"/>
      </w:pPr>
      <w:r>
        <w:t xml:space="preserve">At the market level the density was specified parametrically. Next-day Nifty</w:t>
      </w:r>
      <w:r>
        <w:t xml:space="preserve"> </w:t>
      </w:r>
      <w:r>
        <w:t xml:space="preserve">returns were modelled as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is a standardized Student-</w:t>
      </w:r>
      <m:oMath>
        <m:r>
          <m:t>t</m:t>
        </m:r>
      </m:oMath>
      <w:r>
        <w:t xml:space="preserve"> </w:t>
      </w:r>
      <w:r>
        <w:t xml:space="preserve">variate,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conditional volatility estimate, and the tilt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0.5</m:t>
          </m:r>
          <m:r>
            <m:rPr>
              <m:sty m:val="p"/>
            </m:rPr>
            <m:t>,</m:t>
          </m:r>
          <m:r>
            <m:t> </m:t>
          </m:r>
          <m:r>
            <m:t>2.0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 vector of conditioning variables. All parameters were estimated</w:t>
      </w:r>
      <w:r>
        <w:t xml:space="preserve"> </w:t>
      </w:r>
      <w:r>
        <w:t xml:space="preserve">by maximum likelihood on the expanding past, first fitted after 750 scored</w:t>
      </w:r>
      <w:r>
        <w:t xml:space="preserve"> </w:t>
      </w:r>
      <w:r>
        <w:t xml:space="preserve">days, refitted every 21 trading days, and applied out of sample to the</w:t>
      </w:r>
      <w:r>
        <w:t xml:space="preserve"> </w:t>
      </w:r>
      <w:r>
        <w:t xml:space="preserve">following block. Aggregate flow entered at a two-day lag throughout,</w:t>
      </w:r>
      <w:r>
        <w:t xml:space="preserve"> </w:t>
      </w:r>
      <w:r>
        <w:t xml:space="preserve">reflecting the publication delay of the underlying disclosure, so every</w:t>
      </w:r>
      <w:r>
        <w:t xml:space="preserve"> </w:t>
      </w:r>
      <w:r>
        <w:t xml:space="preserve">specification is deployable in real time.</w:t>
      </w:r>
    </w:p>
    <w:p>
      <w:pPr>
        <w:pStyle w:val="BodyText"/>
      </w:pPr>
      <w:r>
        <w:rPr>
          <w:b/>
          <w:bCs/>
          <w:i/>
          <w:iCs/>
        </w:rPr>
        <w:t xml:space="preserve">Evaluation Protocol and Pre-Registration</w:t>
      </w:r>
    </w:p>
    <w:p>
      <w:pPr>
        <w:pStyle w:val="BodyText"/>
      </w:pPr>
      <w:r>
        <w:t xml:space="preserve">Forecasts were evaluated using the continuous ranked probability score,</w:t>
      </w:r>
      <w:r>
        <w:t xml:space="preserve"> </w:t>
      </w:r>
      <w:r>
        <w:t xml:space="preserve">pinball loss at the 5% and 1% quantiles, Kupiec unconditional coverage</w:t>
      </w:r>
      <w:r>
        <w:t xml:space="preserve"> </w:t>
      </w:r>
      <w:r>
        <w:t xml:space="preserve">tests, Christoffersen independence tests, and probability integral transform</w:t>
      </w:r>
      <w:r>
        <w:t xml:space="preserve"> </w:t>
      </w:r>
      <w:r>
        <w:t xml:space="preserve">uniformity assessed against a date-block bootstrap null constructed with a</w:t>
      </w:r>
      <w:r>
        <w:t xml:space="preserve"> </w:t>
      </w:r>
      <w:r>
        <w:t xml:space="preserve">stationary resampling scheme (Politis &amp; Romano, 1994) rather than a textbook</w:t>
      </w:r>
      <w:r>
        <w:t xml:space="preserve"> </w:t>
      </w:r>
      <w:r>
        <w:t xml:space="preserve">chi-square, which is invalid under cross-sectional dependence. Differences in</w:t>
      </w:r>
      <w:r>
        <w:t xml:space="preserve"> </w:t>
      </w:r>
      <w:r>
        <w:t xml:space="preserve">predictive accuracy were tested by Diebold–Mariano statistics with</w:t>
      </w:r>
      <w:r>
        <w:t xml:space="preserve"> </w:t>
      </w:r>
      <w:r>
        <w:t xml:space="preserve">Newey–West standard errors.</w:t>
      </w:r>
    </w:p>
    <w:p>
      <w:pPr>
        <w:pStyle w:val="BodyText"/>
      </w:pPr>
      <w:r>
        <w:t xml:space="preserve">Four hypotheses were pre-registered in dated documents written before</w:t>
      </w:r>
      <w:r>
        <w:t xml:space="preserve"> </w:t>
      </w:r>
      <w:r>
        <w:t xml:space="preserve">estimation. Each specified the exact variable construction, the control set,</w:t>
      </w:r>
      <w:r>
        <w:t xml:space="preserve"> </w:t>
      </w:r>
      <w:r>
        <w:t xml:space="preserve">the model comparison, and a numerical pass bar requiring both full-sample</w:t>
      </w:r>
      <w:r>
        <w:t xml:space="preserve"> </w:t>
      </w:r>
      <w:r>
        <w:t xml:space="preserve">significance and same-signed consistency across the two eras. Every</w:t>
      </w:r>
      <w:r>
        <w:t xml:space="preserve"> </w:t>
      </w:r>
      <w:r>
        <w:t xml:space="preserve">pre-registered attempt is reported in the results, including those that</w:t>
      </w:r>
      <w:r>
        <w:t xml:space="preserve"> </w:t>
      </w:r>
      <w:r>
        <w:t xml:space="preserve">failed.</w:t>
      </w:r>
    </w:p>
    <w:bookmarkEnd w:id="11"/>
    <w:bookmarkStart w:id="12" w:name="results-and-discussion"/>
    <w:p>
      <w:pPr>
        <w:pStyle w:val="Heading1"/>
      </w:pPr>
      <w:r>
        <w:t xml:space="preserve">RESULTS AND DISCUSSION</w:t>
      </w:r>
    </w:p>
    <w:p>
      <w:pPr>
        <w:pStyle w:val="FirstParagraph"/>
      </w:pPr>
      <w:r>
        <w:rPr>
          <w:b/>
          <w:bCs/>
          <w:i/>
          <w:iCs/>
        </w:rPr>
        <w:t xml:space="preserve">Flow Composition Adds Nothing to Stock-Day Densities</w:t>
      </w:r>
    </w:p>
    <w:p>
      <w:pPr>
        <w:pStyle w:val="BodyText"/>
      </w:pPr>
      <w:r>
        <w:t xml:space="preserve">The primary hypothesis was rejected. The archetype-conditional mixture was</w:t>
      </w:r>
      <w:r>
        <w:t xml:space="preserve"> </w:t>
      </w:r>
      <w:r>
        <w:t xml:space="preserve">statistically indistinguishable from the identical machinery with conditioning</w:t>
      </w:r>
      <w:r>
        <w:t xml:space="preserve"> </w:t>
      </w:r>
      <w:r>
        <w:t xml:space="preserve">removed, at every horizon and in every stratum examined, including strata</w:t>
      </w:r>
      <w:r>
        <w:t xml:space="preserve"> </w:t>
      </w:r>
      <w:r>
        <w:t xml:space="preserve">selected for high flow uncertainty where any conditioning effect should be</w:t>
      </w:r>
      <w:r>
        <w:t xml:space="preserve"> </w:t>
      </w:r>
      <w:r>
        <w:t xml:space="preserve">largest. The comparison was powered to detect differences above roughly 0.03%</w:t>
      </w:r>
      <w:r>
        <w:t xml:space="preserve"> </w:t>
      </w:r>
      <w:r>
        <w:t xml:space="preserve">of the score. Composition, as measured here, carries no incremental</w:t>
      </w:r>
      <w:r>
        <w:t xml:space="preserve"> </w:t>
      </w:r>
      <w:r>
        <w:t xml:space="preserve">information about the shape of the conditional return distribution once</w:t>
      </w:r>
      <w:r>
        <w:t xml:space="preserve"> </w:t>
      </w:r>
      <w:r>
        <w:t xml:space="preserve">volatility is controlled.</w:t>
      </w:r>
    </w:p>
    <w:p>
      <w:pPr>
        <w:pStyle w:val="BodyText"/>
      </w:pPr>
      <w:r>
        <w:t xml:space="preserve">This is a clean negative result rather than an inconclusive one, and it</w:t>
      </w:r>
      <w:r>
        <w:t xml:space="preserve"> </w:t>
      </w:r>
      <w:r>
        <w:t xml:space="preserve">constrains the interpretation of the aggregate-flow literature: whatever</w:t>
      </w:r>
      <w:r>
        <w:t xml:space="preserve"> </w:t>
      </w:r>
      <w:r>
        <w:t xml:space="preserve">information FII activity carries, it does not reside in the cross-sectional</w:t>
      </w:r>
      <w:r>
        <w:t xml:space="preserve"> </w:t>
      </w:r>
      <w:r>
        <w:t xml:space="preserve">composition of daily trading at the individual stock level.</w:t>
      </w:r>
    </w:p>
    <w:p>
      <w:pPr>
        <w:pStyle w:val="BodyText"/>
      </w:pPr>
      <w:r>
        <w:rPr>
          <w:b/>
          <w:bCs/>
          <w:i/>
          <w:iCs/>
        </w:rPr>
        <w:t xml:space="preserve">The Gaussian Benchmark Fails in the Tail</w:t>
      </w:r>
    </w:p>
    <w:p>
      <w:pPr>
        <w:pStyle w:val="BodyText"/>
      </w:pPr>
      <w:r>
        <w:t xml:space="preserve">The engine nevertheless outperformed the benchmark decisively, as Table 1</w:t>
      </w:r>
      <w:r>
        <w:t xml:space="preserve"> </w:t>
      </w:r>
      <w:r>
        <w:t xml:space="preserve">shows, and the reason has nothing to do with flow.</w:t>
      </w:r>
    </w:p>
    <w:p>
      <w:pPr>
        <w:pStyle w:val="BodyText"/>
      </w:pPr>
      <w:r>
        <w:rPr>
          <w:i/>
          <w:iCs/>
        </w:rPr>
        <w:t xml:space="preserve">Table 1. Density Forecast Performance, Empirical Engine Versus Gaussian</w:t>
      </w:r>
      <w:r>
        <w:rPr>
          <w:i/>
          <w:iCs/>
        </w:rPr>
        <w:t xml:space="preserve"> </w:t>
      </w:r>
      <w:r>
        <w:rPr>
          <w:i/>
          <w:iCs/>
        </w:rPr>
        <w:t xml:space="preserve">Benchmark, One-Day Horizon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Evaluation criterion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Empirical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Gaussian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rate at 1% level (target 1.00%)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Kupiec test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 at 1%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integral transform 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Per-stock Kupiec pass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shortfall coverage (target 1.000)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continuous ranked probability 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0.56095</w:t>
            </w:r>
          </w:p>
        </w:tc>
      </w:tr>
    </w:tbl>
    <w:p>
      <w:pPr>
        <w:pStyle w:val="BodyText"/>
      </w:pPr>
      <w:r>
        <w:t xml:space="preserve">Note. Walk-forward out-of-sample results on 578,481 stock-days</w:t>
      </w:r>
      <w:r>
        <w:t xml:space="preserve"> </w:t>
      </w:r>
      <w:r>
        <w:t xml:space="preserve">covering 562 securities, February 2016 to March 2025. Both engines share an</w:t>
      </w:r>
      <w:r>
        <w:t xml:space="preserve"> </w:t>
      </w:r>
      <w:r>
        <w:t xml:space="preserve">identical volatility estimate and identical evaluation dates; they differ only</w:t>
      </w:r>
      <w:r>
        <w:t xml:space="preserve"> </w:t>
      </w:r>
      <w:r>
        <w:t xml:space="preserve">in the assumed shape of the standardized distribution. Source: Authors’</w:t>
      </w:r>
      <w:r>
        <w:t xml:space="preserve"> </w:t>
      </w:r>
      <w:r>
        <w:t xml:space="preserve">calculations.</w:t>
      </w:r>
    </w:p>
    <w:p>
      <w:pPr>
        <w:pStyle w:val="BodyText"/>
      </w:pPr>
      <w:r>
        <w:t xml:space="preserve">The mechanism appears in Table 2. Standardized losses, that is, losses already</w:t>
      </w:r>
      <w:r>
        <w:t xml:space="preserve"> </w:t>
      </w:r>
      <w:r>
        <w:t xml:space="preserve">scaled by a conditional volatility estimate, occur at the extremes far more</w:t>
      </w:r>
      <w:r>
        <w:t xml:space="preserve"> </w:t>
      </w:r>
      <w:r>
        <w:t xml:space="preserve">often than a normal distribution permits.</w:t>
      </w:r>
    </w:p>
    <w:p>
      <w:pPr>
        <w:pStyle w:val="BodyText"/>
      </w:pPr>
      <w:r>
        <w:rPr>
          <w:i/>
          <w:iCs/>
        </w:rPr>
        <w:t xml:space="preserve">Table 2. Observed and Gaussian-Implied Frequencies of Extreme</w:t>
      </w:r>
      <w:r>
        <w:rPr>
          <w:i/>
          <w:iCs/>
        </w:rPr>
        <w:t xml:space="preserve"> </w:t>
      </w:r>
      <w:r>
        <w:rPr>
          <w:i/>
          <w:iCs/>
        </w:rPr>
        <w:t xml:space="preserve">Standardized Losses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Observed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Gaussian expectation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t xml:space="preserve"> </w:t>
            </w:r>
            <w:r>
              <w:t xml:space="preserve">standard deviations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t xml:space="preserve"> </w:t>
            </w:r>
            <w:r>
              <w:t xml:space="preserve">standard deviations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t xml:space="preserve"> </w:t>
            </w:r>
            <w:r>
              <w:t xml:space="preserve">standard deviations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Approx. 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standard deviations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defined</w:t>
            </w:r>
          </w:p>
        </w:tc>
      </w:tr>
    </w:tbl>
    <w:p>
      <w:pPr>
        <w:pStyle w:val="BodyText"/>
      </w:pPr>
      <w:r>
        <w:t xml:space="preserve">Note. Counts computed on the same 578,481 stock-days as Table 1.</w:t>
      </w:r>
      <w:r>
        <w:t xml:space="preserve"> </w:t>
      </w:r>
      <w:r>
        <w:t xml:space="preserve">Source: Authors’ calculations.</w:t>
      </w:r>
    </w:p>
    <w:p>
      <w:pPr>
        <w:pStyle w:val="BodyText"/>
      </w:pPr>
      <w:r>
        <w:t xml:space="preserve">A Gaussian engine is not marginally conservative in this market; it is wrong</w:t>
      </w:r>
      <w:r>
        <w:t xml:space="preserve"> </w:t>
      </w:r>
      <w:r>
        <w:t xml:space="preserve">by orders of magnitude in precisely the region where capital is destroyed. The</w:t>
      </w:r>
      <w:r>
        <w:t xml:space="preserve"> </w:t>
      </w:r>
      <w:r>
        <w:t xml:space="preserve">empirical engine estimated the ratio of expected shortfall to value-at-risk at</w:t>
      </w:r>
      <w:r>
        <w:t xml:space="preserve"> </w:t>
      </w:r>
      <w:r>
        <w:t xml:space="preserve">1.39 to 1.41, against the 1.146 that a Gaussian imposes by construction</w:t>
      </w:r>
      <w:r>
        <w:t xml:space="preserve"> </w:t>
      </w:r>
      <w:r>
        <w:t xml:space="preserve">regardless of market conditions. The engine did fail at the twenty-day</w:t>
      </w:r>
      <w:r>
        <w:t xml:space="preserve"> </w:t>
      </w:r>
      <w:r>
        <w:t xml:space="preserve">horizon, where the breach rate reached 12.4%, and it is not presented as a</w:t>
      </w:r>
      <w:r>
        <w:t xml:space="preserve"> </w:t>
      </w:r>
      <w:r>
        <w:t xml:space="preserve">long-horizon tool.</w:t>
      </w:r>
    </w:p>
    <w:p>
      <w:pPr>
        <w:pStyle w:val="BodyText"/>
      </w:pPr>
      <w:r>
        <w:rPr>
          <w:b/>
          <w:bCs/>
          <w:i/>
          <w:iCs/>
        </w:rPr>
        <w:t xml:space="preserve">Institutional Share of Turnover Predicts Volatility</w:t>
      </w:r>
    </w:p>
    <w:p>
      <w:pPr>
        <w:pStyle w:val="BodyText"/>
      </w:pPr>
      <w:r>
        <w:t xml:space="preserve">A distinct hypothesis concerned the level rather than the composition of</w:t>
      </w:r>
      <w:r>
        <w:t xml:space="preserve"> </w:t>
      </w:r>
      <w:r>
        <w:t xml:space="preserve">institutional participation: whether the share of a stock’s turnover</w:t>
      </w:r>
      <w:r>
        <w:t xml:space="preserve"> </w:t>
      </w:r>
      <w:r>
        <w:t xml:space="preserve">attributable to institutional trading predicts its next-day volatility.</w:t>
      </w:r>
      <w:r>
        <w:t xml:space="preserve"> </w:t>
      </w:r>
      <w:r>
        <w:t xml:space="preserve">Table 3 reports the result, with the squared standardized outcome as the</w:t>
      </w:r>
      <w:r>
        <w:t xml:space="preserve"> </w:t>
      </w:r>
      <w:r>
        <w:t xml:space="preserve">dependent variable, so the test asks whether the share explains volatility</w:t>
      </w:r>
      <w:r>
        <w:t xml:space="preserve"> </w:t>
      </w:r>
      <w:r>
        <w:t xml:space="preserve">that the engine’s own estimate has already failed to capture.</w:t>
      </w:r>
    </w:p>
    <w:p>
      <w:pPr>
        <w:pStyle w:val="BodyText"/>
      </w:pPr>
      <w:r>
        <w:rPr>
          <w:i/>
          <w:iCs/>
        </w:rPr>
        <w:t xml:space="preserve">Table 3. Institutional Share of Turnover and Next-Day Volatility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 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Training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fixed effects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0.0283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0.0198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5.25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4.43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2.85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and date fixed effects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0.0232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5.53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4.42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3.25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Adding own lagged volatility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0.0255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0.0332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0.0180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4.59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3.87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observable only at two-day lag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0.0008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0.13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Note. Dependent variable is the squared standardized next-day</w:t>
      </w:r>
      <w:r>
        <w:t xml:space="preserve"> </w:t>
      </w:r>
      <w:r>
        <w:t xml:space="preserve">return. Sample comprises 577,245 stock-days, 972 securities, and 2,081 trading</w:t>
      </w:r>
      <w:r>
        <w:t xml:space="preserve"> </w:t>
      </w:r>
      <w:r>
        <w:t xml:space="preserve">dates. Date-clustered</w:t>
      </w:r>
      <w:r>
        <w:t xml:space="preserve"> </w:t>
      </w:r>
      <m:oMath>
        <m:r>
          <m:t>t</m:t>
        </m:r>
      </m:oMath>
      <w:r>
        <w:t xml:space="preserve">-statistics in parentheses. Logarithm of turnover is</w:t>
      </w:r>
      <w:r>
        <w:t xml:space="preserve"> </w:t>
      </w:r>
      <w:r>
        <w:t xml:space="preserve">included as a control in every specification and enters with a</w:t>
      </w:r>
      <w:r>
        <w:t xml:space="preserve"> </w:t>
      </w:r>
      <m:oMath>
        <m:r>
          <m:t>t</m:t>
        </m:r>
      </m:oMath>
      <w:r>
        <w:t xml:space="preserve">-statistic</w:t>
      </w:r>
      <w:r>
        <w:t xml:space="preserve"> </w:t>
      </w:r>
      <w:r>
        <w:t xml:space="preserve">above 24 throughout. Source: Authors’ calculations.</w:t>
      </w:r>
    </w:p>
    <w:p>
      <w:pPr>
        <w:pStyle w:val="BodyText"/>
      </w:pPr>
      <w:r>
        <w:t xml:space="preserve">The effect is negative, statistically strong, and present in both eras under</w:t>
      </w:r>
      <w:r>
        <w:t xml:space="preserve"> </w:t>
      </w:r>
      <w:r>
        <w:t xml:space="preserve">the demanding two-way fixed-effects specification. Stock-days with a lower</w:t>
      </w:r>
      <w:r>
        <w:t xml:space="preserve"> </w:t>
      </w:r>
      <w:r>
        <w:t xml:space="preserve">institutional share of turnover are subsequently more volatile. Sorting on the</w:t>
      </w:r>
      <w:r>
        <w:t xml:space="preserve"> </w:t>
      </w:r>
      <w:r>
        <w:t xml:space="preserve">within-day quintile of institutional share produced a monotone gradient in</w:t>
      </w:r>
      <w:r>
        <w:t xml:space="preserve"> </w:t>
      </w:r>
      <w:r>
        <w:t xml:space="preserve">implied volatility from 1.0911 in the lowest quintile to 1.0357 in the</w:t>
      </w:r>
      <w:r>
        <w:t xml:space="preserve"> </w:t>
      </w:r>
      <w:r>
        <w:t xml:space="preserve">highest, a spread of 5.3%. The result is robust to the choice of</w:t>
      </w:r>
      <w:r>
        <w:t xml:space="preserve"> </w:t>
      </w:r>
      <w:r>
        <w:t xml:space="preserve">winsorization threshold, is stronger when absolute rather than squared</w:t>
      </w:r>
      <w:r>
        <w:t xml:space="preserve"> </w:t>
      </w:r>
      <w:r>
        <w:t xml:space="preserve">standardized returns are used, and is stronger in high-volatility regimes.</w:t>
      </w:r>
    </w:p>
    <w:p>
      <w:pPr>
        <w:pStyle w:val="BodyText"/>
      </w:pPr>
      <w:r>
        <w:t xml:space="preserve">The final row of Table 3 is the finding’s own limit. When the share is lagged</w:t>
      </w:r>
      <w:r>
        <w:t xml:space="preserve"> </w:t>
      </w:r>
      <w:r>
        <w:t xml:space="preserve">to the point at which it would genuinely be observable to a market</w:t>
      </w:r>
      <w:r>
        <w:t xml:space="preserve"> </w:t>
      </w:r>
      <w:r>
        <w:t xml:space="preserve">participant, the coefficient collapses to zero. The effect is therefore</w:t>
      </w:r>
      <w:r>
        <w:t xml:space="preserve"> </w:t>
      </w:r>
      <w:r>
        <w:t xml:space="preserve">economic rather than tradeable, and it is reported as such.</w:t>
      </w:r>
    </w:p>
    <w:p>
      <w:pPr>
        <w:pStyle w:val="BodyText"/>
      </w:pPr>
      <w:r>
        <w:rPr>
          <w:b/>
          <w:bCs/>
          <w:i/>
          <w:iCs/>
        </w:rPr>
        <w:t xml:space="preserve">Aggregate Flow Improves Market-Level Risk Forecasts</w:t>
      </w:r>
    </w:p>
    <w:p>
      <w:pPr>
        <w:pStyle w:val="BodyText"/>
      </w:pPr>
      <w:r>
        <w:t xml:space="preserve">The one deployable positive result concerns aggregate flow at the index level.</w:t>
      </w:r>
      <w:r>
        <w:t xml:space="preserve"> </w:t>
      </w:r>
      <w:r>
        <w:t xml:space="preserve">A pre-registered regression established that aggregate net FII inflow observed</w:t>
      </w:r>
      <w:r>
        <w:t xml:space="preserve"> </w:t>
      </w:r>
      <w:r>
        <w:t xml:space="preserve">at a two-day lag predicted lower absolute next-day Nifty returns beyond the</w:t>
      </w:r>
      <w:r>
        <w:t xml:space="preserve"> </w:t>
      </w:r>
      <w:r>
        <w:t xml:space="preserve">information already in the India VIX, with a</w:t>
      </w:r>
      <w:r>
        <w:t xml:space="preserve"> </w:t>
      </w:r>
      <m:oMath>
        <m:r>
          <m:t>t</m:t>
        </m:r>
      </m:oMath>
      <w:r>
        <w:t xml:space="preserve">-statistic of</w:t>
      </w:r>
      <w:r>
        <w:t xml:space="preserve"> </w:t>
      </w:r>
      <m:oMath>
        <m:r>
          <m:rPr>
            <m:sty m:val="p"/>
          </m:rPr>
          <m:t>−</m:t>
        </m:r>
        <m:r>
          <m:t>4.78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full sample and</w:t>
      </w:r>
      <w:r>
        <w:t xml:space="preserve"> </w:t>
      </w:r>
      <m:oMath>
        <m:r>
          <m:rPr>
            <m:sty m:val="p"/>
          </m:rPr>
          <m:t>−</m:t>
        </m:r>
        <m:r>
          <m:t>2.49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2.51</m:t>
        </m:r>
      </m:oMath>
      <w:r>
        <w:t xml:space="preserve"> </w:t>
      </w:r>
      <w:r>
        <w:t xml:space="preserve">in the two eras separately, clearing the</w:t>
      </w:r>
      <w:r>
        <w:t xml:space="preserve"> </w:t>
      </w:r>
      <w:r>
        <w:t xml:space="preserve">pre-registered bar.</w:t>
      </w:r>
    </w:p>
    <w:p>
      <w:pPr>
        <w:pStyle w:val="BodyText"/>
      </w:pPr>
      <w:r>
        <w:t xml:space="preserve">A natural objection is that this reflects the leverage effect, since inflows</w:t>
      </w:r>
      <w:r>
        <w:t xml:space="preserve"> </w:t>
      </w:r>
      <w:r>
        <w:t xml:space="preserve">follow rising markets and rising markets precede lower volatility. The</w:t>
      </w:r>
      <w:r>
        <w:t xml:space="preserve"> </w:t>
      </w:r>
      <w:r>
        <w:t xml:space="preserve">objection was tested directly by adding signed-return controls. The</w:t>
      </w:r>
      <w:r>
        <w:t xml:space="preserve"> </w:t>
      </w:r>
      <w:r>
        <w:t xml:space="preserve">coefficient retained a</w:t>
      </w:r>
      <w:r>
        <w:t xml:space="preserve"> </w:t>
      </w:r>
      <m:oMath>
        <m:r>
          <m:t>t</m:t>
        </m:r>
      </m:oMath>
      <w:r>
        <w:t xml:space="preserve">-statistic of</w:t>
      </w:r>
      <w:r>
        <w:t xml:space="preserve"> </w:t>
      </w:r>
      <m:oMath>
        <m:r>
          <m:rPr>
            <m:sty m:val="p"/>
          </m:rPr>
          <m:t>−</m:t>
        </m:r>
        <m:r>
          <m:t>4.23</m:t>
        </m:r>
      </m:oMath>
      <w:r>
        <w:t xml:space="preserve"> </w:t>
      </w:r>
      <w:r>
        <w:t xml:space="preserve">on the full sample and</w:t>
      </w:r>
      <w:r>
        <w:t xml:space="preserve"> </w:t>
      </w:r>
      <w:r>
        <w:t xml:space="preserve">remained significant in both eras, and past signed returns explained only</w:t>
      </w:r>
      <w:r>
        <w:t xml:space="preserve"> </w:t>
      </w:r>
      <w:r>
        <w:t xml:space="preserve">2.8% of the variation in the flow variable. The signal is incremental</w:t>
      </w:r>
      <w:r>
        <w:t xml:space="preserve"> </w:t>
      </w:r>
      <w:r>
        <w:t xml:space="preserve">information, not a repackaged leverage effect.</w:t>
      </w:r>
    </w:p>
    <w:p>
      <w:pPr>
        <w:pStyle w:val="BodyText"/>
      </w:pPr>
      <w:r>
        <w:t xml:space="preserve">Converting the regression into a forecasting engine produced the results in</w:t>
      </w:r>
      <w:r>
        <w:t xml:space="preserve"> </w:t>
      </w:r>
      <w:r>
        <w:t xml:space="preserve">Table 4. All three pre-registered conditions were satisfied.</w:t>
      </w:r>
    </w:p>
    <w:p>
      <w:pPr>
        <w:pStyle w:val="BodyText"/>
      </w:pPr>
      <w:r>
        <w:rPr>
          <w:i/>
          <w:iCs/>
        </w:rPr>
        <w:t xml:space="preserve">Table 4. Pre-Registered Gate for the Market-Level Flow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 fixed in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accuracy against a volatility-index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Diebold–Mariano statistic at or below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2.35</m:t>
              </m:r>
            </m:oMath>
            <w:r>
              <w:t xml:space="preserve"> </w:t>
            </w:r>
            <w:r>
              <w:t xml:space="preserve">(satisfied)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Consistency across 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mean score in both training and test eras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0.0019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0.0004</m:t>
              </m:r>
            </m:oMath>
            <w:r>
              <w:t xml:space="preserve"> </w:t>
            </w:r>
            <w:r>
              <w:t xml:space="preserve">(satisfied)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 calibration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Kupiec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 above 0.01 at both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and 0.161 (satisfied)</w:t>
            </w:r>
          </w:p>
        </w:tc>
      </w:tr>
    </w:tbl>
    <w:p>
      <w:pPr>
        <w:pStyle w:val="BodyText"/>
      </w:pPr>
      <w:r>
        <w:t xml:space="preserve">Note. Based on 2,739 scored trading days. All parameters were</w:t>
      </w:r>
      <w:r>
        <w:t xml:space="preserve"> </w:t>
      </w:r>
      <w:r>
        <w:t xml:space="preserve">estimated walk-forward on past data only. Source: Authors’ calculations.</w:t>
      </w:r>
    </w:p>
    <w:p>
      <w:pPr>
        <w:pStyle w:val="BodyText"/>
      </w:pPr>
      <w:r>
        <w:t xml:space="preserve">The economic magnitude was modest but real. At matched one-percent coverage,</w:t>
      </w:r>
      <w:r>
        <w:t xml:space="preserve"> </w:t>
      </w:r>
      <w:r>
        <w:t xml:space="preserve">the flow-augmented engine required approximately 2% less capital, and the</w:t>
      </w:r>
      <w:r>
        <w:t xml:space="preserve"> </w:t>
      </w:r>
      <w:r>
        <w:t xml:space="preserve">average loss in excess of the value-at-risk threshold fell from 0.770% to</w:t>
      </w:r>
      <w:r>
        <w:t xml:space="preserve"> </w:t>
      </w:r>
      <w:r>
        <w:t xml:space="preserve">0.613%, an improvement of roughly one-fifth. The gain was monotone in the</w:t>
      </w:r>
      <w:r>
        <w:t xml:space="preserve"> </w:t>
      </w:r>
      <w:r>
        <w:t xml:space="preserve">signal, being negligible on quiet days and largest on days of strong inflow,</w:t>
      </w:r>
      <w:r>
        <w:t xml:space="preserve"> </w:t>
      </w:r>
      <w:r>
        <w:t xml:space="preserve">and it concentrated in the one-percent tail rather than in the centre of the</w:t>
      </w:r>
      <w:r>
        <w:t xml:space="preserve"> </w:t>
      </w:r>
      <w:r>
        <w:t xml:space="preserve">distribution.</w:t>
      </w:r>
    </w:p>
    <w:p>
      <w:pPr>
        <w:pStyle w:val="BodyText"/>
      </w:pPr>
      <w:r>
        <w:rPr>
          <w:b/>
          <w:bCs/>
          <w:i/>
          <w:iCs/>
        </w:rPr>
        <w:t xml:space="preserve">The Boundary: Where the Signal Stops Converting</w:t>
      </w:r>
    </w:p>
    <w:p>
      <w:pPr>
        <w:pStyle w:val="BodyText"/>
      </w:pPr>
      <w:r>
        <w:t xml:space="preserve">Three further pre-registered attempts extended the engine, and all three</w:t>
      </w:r>
      <w:r>
        <w:t xml:space="preserve"> </w:t>
      </w:r>
      <w:r>
        <w:t xml:space="preserve">failed. Table 5 summarizes them, because a boundary measured from both sides</w:t>
      </w:r>
      <w:r>
        <w:t xml:space="preserve"> </w:t>
      </w:r>
      <w:r>
        <w:t xml:space="preserve">is more informative than a single success.</w:t>
      </w:r>
    </w:p>
    <w:p>
      <w:pPr>
        <w:pStyle w:val="BodyText"/>
      </w:pPr>
      <w:r>
        <w:rPr>
          <w:i/>
          <w:iCs/>
        </w:rPr>
        <w:t xml:space="preserve">Table 5. Pre-Registered Engine Extensions and Their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Asymmetric GARCH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flow survive a competitive volatility benchmark?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satisfied (</w:t>
            </w:r>
            <m:oMath>
              <m:r>
                <m:rPr>
                  <m:sty m:val="p"/>
                </m:rPr>
                <m:t>−</m:t>
              </m:r>
              <m:r>
                <m:t>0.95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conditioning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exchange rate, United States equity, dollar index, and policy rate</w:t>
            </w:r>
            <w:r>
              <w:t xml:space="preserve"> </w:t>
            </w:r>
            <w:r>
              <w:t xml:space="preserve">differentials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satisfied (</w:t>
            </w:r>
            <m:oMath>
              <m:r>
                <m:rPr>
                  <m:sty m:val="p"/>
                </m:rPr>
                <m:t>−</m:t>
              </m:r>
              <m:r>
                <m:t>0.67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a five-day horizon recover the signal?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satisfied, engine not satisfied (</w:t>
            </w:r>
            <m:oMath>
              <m:r>
                <m:rPr>
                  <m:sty m:val="p"/>
                </m:rPr>
                <m:t>+</m:t>
              </m:r>
              <m:r>
                <m:t>1.58</m:t>
              </m:r>
            </m:oMath>
            <w:r>
              <w:t xml:space="preserve">)</w:t>
            </w:r>
          </w:p>
        </w:tc>
      </w:tr>
    </w:tbl>
    <w:p>
      <w:pPr>
        <w:pStyle w:val="BodyText"/>
      </w:pPr>
      <w:r>
        <w:t xml:space="preserve">Note. Entries report Diebold–Mariano statistics against the</w:t>
      </w:r>
      <w:r>
        <w:t xml:space="preserve"> </w:t>
      </w:r>
      <w:r>
        <w:t xml:space="preserve">relevant benchmark; negative values favour the augmented model, and the</w:t>
      </w:r>
      <w:r>
        <w:t xml:space="preserve"> </w:t>
      </w:r>
      <w:r>
        <w:t xml:space="preserve">pre-registered threshold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</m:oMath>
      <w:r>
        <w:t xml:space="preserve"> </w:t>
      </w:r>
      <w:r>
        <w:t xml:space="preserve">in every case. Source: Authors’</w:t>
      </w:r>
      <w:r>
        <w:t xml:space="preserve"> </w:t>
      </w:r>
      <w:r>
        <w:t xml:space="preserve">calculations.</w:t>
      </w:r>
    </w:p>
    <w:p>
      <w:pPr>
        <w:pStyle w:val="BodyText"/>
      </w:pPr>
      <w:r>
        <w:t xml:space="preserve">Three lessons follow. First, the dollar index and the policy-rate differential</w:t>
      </w:r>
      <w:r>
        <w:t xml:space="preserve"> </w:t>
      </w:r>
      <w:r>
        <w:t xml:space="preserve">added nothing once the rupee exchange rate was included, indicating that the</w:t>
      </w:r>
      <w:r>
        <w:t xml:space="preserve"> </w:t>
      </w:r>
      <w:r>
        <w:t xml:space="preserve">India-relevant component of global dollar conditions is already impounded in</w:t>
      </w:r>
      <w:r>
        <w:t xml:space="preserve"> </w:t>
      </w:r>
      <w:r>
        <w:t xml:space="preserve">the currency. Second, the weekly spillover from United States equity returns</w:t>
      </w:r>
      <w:r>
        <w:t xml:space="preserve"> </w:t>
      </w:r>
      <w:r>
        <w:t xml:space="preserve">to Indian volatility was the most era-stable coefficient estimated anywhere in</w:t>
      </w:r>
      <w:r>
        <w:t xml:space="preserve"> </w:t>
      </w:r>
      <w:r>
        <w:t xml:space="preserve">this study, with</w:t>
      </w:r>
      <w:r>
        <w:t xml:space="preserve"> </w:t>
      </w:r>
      <m:oMath>
        <m:r>
          <m:t>t</m:t>
        </m:r>
      </m:oMath>
      <w:r>
        <w:t xml:space="preserve">-statistics of</w:t>
      </w:r>
      <w:r>
        <w:t xml:space="preserve"> </w:t>
      </w:r>
      <m:oMath>
        <m:r>
          <m:rPr>
            <m:sty m:val="p"/>
          </m:rPr>
          <m:t>−</m:t>
        </m:r>
        <m:r>
          <m:t>3.50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2.72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4.39</m:t>
        </m:r>
      </m:oMath>
      <w:r>
        <w:t xml:space="preserve"> </w:t>
      </w:r>
      <w:r>
        <w:t xml:space="preserve">on the full</w:t>
      </w:r>
      <w:r>
        <w:t xml:space="preserve"> </w:t>
      </w:r>
      <w:r>
        <w:t xml:space="preserve">sample and the two eras, and yet it produced no density-forecast improvement</w:t>
      </w:r>
      <w:r>
        <w:t xml:space="preserve"> </w:t>
      </w:r>
      <w:r>
        <w:t xml:space="preserve">whatsoever, because an asymmetric GARCH benchmark already absorbs the shock</w:t>
      </w:r>
      <w:r>
        <w:t xml:space="preserve"> </w:t>
      </w:r>
      <w:r>
        <w:t xml:space="preserve">through the index’s own lagged returns.</w:t>
      </w:r>
    </w:p>
    <w:p>
      <w:pPr>
        <w:pStyle w:val="BodyText"/>
      </w:pPr>
      <w:r>
        <w:t xml:space="preserve">Third, and most generally, the same pattern recurred four times with four</w:t>
      </w:r>
      <w:r>
        <w:t xml:space="preserve"> </w:t>
      </w:r>
      <w:r>
        <w:t xml:space="preserve">different signals. Conditioning variables with regression</w:t>
      </w:r>
      <w:r>
        <w:t xml:space="preserve"> </w:t>
      </w:r>
      <m:oMath>
        <m:r>
          <m:t>t</m:t>
        </m:r>
      </m:oMath>
      <w:r>
        <w:t xml:space="preserve">-statistics</w:t>
      </w:r>
      <w:r>
        <w:t xml:space="preserve"> </w:t>
      </w:r>
      <w:r>
        <w:t xml:space="preserve">between three and five failed to improve a well-specified conditional density</w:t>
      </w:r>
      <w:r>
        <w:t xml:space="preserve"> </w:t>
      </w:r>
      <w:r>
        <w:t xml:space="preserve">forecast, and succeeded only against a weak benchmark. A modulation of</w:t>
      </w:r>
      <w:r>
        <w:t xml:space="preserve"> </w:t>
      </w:r>
      <w:r>
        <w:t xml:space="preserve">conditional volatility of one to two percent is genuine, survives every</w:t>
      </w:r>
      <w:r>
        <w:t xml:space="preserve"> </w:t>
      </w:r>
      <w:r>
        <w:t xml:space="preserve">control tested, and still lies below the detection threshold of a proper</w:t>
      </w:r>
      <w:r>
        <w:t xml:space="preserve"> </w:t>
      </w:r>
      <w:r>
        <w:t xml:space="preserve">scoring rule over roughly 2,700 observations. This is the distance between</w:t>
      </w:r>
      <w:r>
        <w:t xml:space="preserve"> </w:t>
      </w:r>
      <w:r>
        <w:t xml:space="preserve">significance and forecasting value, and it is large.</w:t>
      </w:r>
    </w:p>
    <w:p>
      <w:pPr>
        <w:pStyle w:val="BodyText"/>
      </w:pPr>
      <w:r>
        <w:rPr>
          <w:b/>
          <w:bCs/>
          <w:i/>
          <w:iCs/>
        </w:rPr>
        <w:t xml:space="preserve">Robustness and Internal Audit</w:t>
      </w:r>
    </w:p>
    <w:p>
      <w:pPr>
        <w:pStyle w:val="BodyText"/>
      </w:pPr>
      <w:r>
        <w:t xml:space="preserve">Two classes of check were applied. First, a look-ahead audit re-executed the</w:t>
      </w:r>
      <w:r>
        <w:t xml:space="preserve"> </w:t>
      </w:r>
      <w:r>
        <w:t xml:space="preserve">entire forecasting chain against inputs truncated at each as-of date and</w:t>
      </w:r>
      <w:r>
        <w:t xml:space="preserve"> </w:t>
      </w:r>
      <w:r>
        <w:t xml:space="preserve">confirmed that pre-truncation and post-truncation quantities agreed exactly,</w:t>
      </w:r>
      <w:r>
        <w:t xml:space="preserve"> </w:t>
      </w:r>
      <w:r>
        <w:t xml:space="preserve">verifying that no forecast used unavailable information.</w:t>
      </w:r>
    </w:p>
    <w:p>
      <w:pPr>
        <w:pStyle w:val="BodyText"/>
      </w:pPr>
      <w:r>
        <w:t xml:space="preserve">Second, an internal review of the estimation code identified two defects and</w:t>
      </w:r>
      <w:r>
        <w:t xml:space="preserve"> </w:t>
      </w:r>
      <w:r>
        <w:t xml:space="preserve">both were corrected before the results reported here were finalized. One</w:t>
      </w:r>
      <w:r>
        <w:t xml:space="preserve"> </w:t>
      </w:r>
      <w:r>
        <w:t xml:space="preserve">concerned models whose conditioning parameters were applied out of sample</w:t>
      </w:r>
      <w:r>
        <w:t xml:space="preserve"> </w:t>
      </w:r>
      <w:r>
        <w:t xml:space="preserve">before sufficient estimation history had accumulated, which asymmetrically</w:t>
      </w:r>
      <w:r>
        <w:t xml:space="preserve"> </w:t>
      </w:r>
      <w:r>
        <w:t xml:space="preserve">penalized parameter-rich specifications; a minimum-history rule was imposed</w:t>
      </w:r>
      <w:r>
        <w:t xml:space="preserve"> </w:t>
      </w:r>
      <w:r>
        <w:t xml:space="preserve">symmetrically across all models. The other concerned optimizer</w:t>
      </w:r>
      <w:r>
        <w:t xml:space="preserve"> </w:t>
      </w:r>
      <w:r>
        <w:t xml:space="preserve">path-dependence on a flat likelihood surface, which was resolved by tightening</w:t>
      </w:r>
      <w:r>
        <w:t xml:space="preserve"> </w:t>
      </w:r>
      <w:r>
        <w:t xml:space="preserve">convergence tolerances and adding a derivative-free polish step. The</w:t>
      </w:r>
      <w:r>
        <w:t xml:space="preserve"> </w:t>
      </w:r>
      <w:r>
        <w:t xml:space="preserve">market-level engine result in Table 4 was unchanged to every reported digit</w:t>
      </w:r>
      <w:r>
        <w:t xml:space="preserve"> </w:t>
      </w:r>
      <w:r>
        <w:t xml:space="preserve">under both corrections, whereas two apparent near-misses widened into clear</w:t>
      </w:r>
      <w:r>
        <w:t xml:space="preserve"> </w:t>
      </w:r>
      <w:r>
        <w:t xml:space="preserve">failures, and one apparent recovery of a positive result proved to be an</w:t>
      </w:r>
      <w:r>
        <w:t xml:space="preserve"> </w:t>
      </w:r>
      <w:r>
        <w:t xml:space="preserve">artifact and was discarded. This experience is reported because it illustrates</w:t>
      </w:r>
      <w:r>
        <w:t xml:space="preserve"> </w:t>
      </w:r>
      <w:r>
        <w:t xml:space="preserve">concretely how small claimed edges can be manufactured or destroyed by</w:t>
      </w:r>
      <w:r>
        <w:t xml:space="preserve"> </w:t>
      </w:r>
      <w:r>
        <w:t xml:space="preserve">estimation choices that are rarely documented.</w:t>
      </w:r>
    </w:p>
    <w:p>
      <w:pPr>
        <w:pStyle w:val="BodyText"/>
      </w:pPr>
      <w:r>
        <w:t xml:space="preserve">Finally, no strategy constructed from any of these signals was profitable</w:t>
      </w:r>
      <w:r>
        <w:t xml:space="preserve"> </w:t>
      </w:r>
      <w:r>
        <w:t xml:space="preserve">after realistic transaction costs. The best test-era gross Sharpe ratio was</w:t>
      </w:r>
      <w:r>
        <w:t xml:space="preserve"> </w:t>
      </w:r>
      <w:r>
        <w:t xml:space="preserve">1.51, which became</w:t>
      </w:r>
      <w:r>
        <w:t xml:space="preserve"> </w:t>
      </w:r>
      <m:oMath>
        <m:r>
          <m:rPr>
            <m:sty m:val="p"/>
          </m:rPr>
          <m:t>−</m:t>
        </m:r>
        <m:r>
          <m:t>1.53</m:t>
        </m:r>
      </m:oMath>
      <w:r>
        <w:t xml:space="preserve"> </w:t>
      </w:r>
      <w:r>
        <w:t xml:space="preserve">at a fifteen basis point round-trip cost. Costs</w:t>
      </w:r>
      <w:r>
        <w:t xml:space="preserve"> </w:t>
      </w:r>
      <w:r>
        <w:t xml:space="preserve">bind, and that is itself a result.</w:t>
      </w:r>
    </w:p>
    <w:bookmarkEnd w:id="12"/>
    <w:bookmarkStart w:id="1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asked whether the composition of foreign institutional trading</w:t>
      </w:r>
      <w:r>
        <w:t xml:space="preserve"> </w:t>
      </w:r>
      <w:r>
        <w:t xml:space="preserve">carried risk information in Indian equities, and answered in the negative at</w:t>
      </w:r>
      <w:r>
        <w:t xml:space="preserve"> </w:t>
      </w:r>
      <w:r>
        <w:t xml:space="preserve">the level of individual stock-day return distributions, with power to detect</w:t>
      </w:r>
      <w:r>
        <w:t xml:space="preserve"> </w:t>
      </w:r>
      <w:r>
        <w:t xml:space="preserve">very small effects. That negative result is credible precisely because it was</w:t>
      </w:r>
      <w:r>
        <w:t xml:space="preserve"> </w:t>
      </w:r>
      <w:r>
        <w:t xml:space="preserve">pre-registered and because the same machinery produced strong positive</w:t>
      </w:r>
      <w:r>
        <w:t xml:space="preserve"> </w:t>
      </w:r>
      <w:r>
        <w:t xml:space="preserve">findings elsewhere.</w:t>
      </w:r>
    </w:p>
    <w:p>
      <w:pPr>
        <w:pStyle w:val="BodyText"/>
      </w:pPr>
      <w:r>
        <w:t xml:space="preserve">The most consequential finding was incidental to the original question.</w:t>
      </w:r>
      <w:r>
        <w:t xml:space="preserve"> </w:t>
      </w:r>
      <w:r>
        <w:t xml:space="preserve">Standardized Indian equity returns are so far from Gaussian in the tails, with</w:t>
      </w:r>
      <w:r>
        <w:t xml:space="preserve"> </w:t>
      </w:r>
      <w:r>
        <w:t xml:space="preserve">four-sigma losses occurring 85 times more frequently than a normal</w:t>
      </w:r>
      <w:r>
        <w:t xml:space="preserve"> </w:t>
      </w:r>
      <w:r>
        <w:t xml:space="preserve">distribution implies, that an empirical conditional density estimated from</w:t>
      </w:r>
      <w:r>
        <w:t xml:space="preserve"> </w:t>
      </w:r>
      <w:r>
        <w:t xml:space="preserve">past outcomes alone raised the proportion of securities passing a standard</w:t>
      </w:r>
      <w:r>
        <w:t xml:space="preserve"> </w:t>
      </w:r>
      <w:r>
        <w:t xml:space="preserve">coverage test from 60.4% to 90.4%. Two genuine flow effects were isolated:</w:t>
      </w:r>
      <w:r>
        <w:t xml:space="preserve"> </w:t>
      </w:r>
      <w:r>
        <w:t xml:space="preserve">institutional share of turnover predicts cross-sectional volatility but not at</w:t>
      </w:r>
      <w:r>
        <w:t xml:space="preserve"> </w:t>
      </w:r>
      <w:r>
        <w:t xml:space="preserve">a deployable lag, and aggregate inflow improves market-level risk forecasts by</w:t>
      </w:r>
      <w:r>
        <w:t xml:space="preserve"> </w:t>
      </w:r>
      <w:r>
        <w:t xml:space="preserve">about 2% of capital, though not against an asymmetric GARCH benchmark.</w:t>
      </w:r>
    </w:p>
    <w:p>
      <w:pPr>
        <w:pStyle w:val="BodyText"/>
      </w:pPr>
      <w:r>
        <w:t xml:space="preserve">The unifying contribution is a measurement of the distance between statistical</w:t>
      </w:r>
      <w:r>
        <w:t xml:space="preserve"> </w:t>
      </w:r>
      <w:r>
        <w:t xml:space="preserve">significance and forecasting value. Across four independent signals, that</w:t>
      </w:r>
      <w:r>
        <w:t xml:space="preserve"> </w:t>
      </w:r>
      <w:r>
        <w:t xml:space="preserve">distance was large and systematic.</w:t>
      </w:r>
    </w:p>
    <w:bookmarkEnd w:id="13"/>
    <w:bookmarkStart w:id="14" w:name="research-implications"/>
    <w:p>
      <w:pPr>
        <w:pStyle w:val="Heading1"/>
      </w:pPr>
      <w:r>
        <w:t xml:space="preserve">RESEARCH IMPLICATIONS</w:t>
      </w:r>
    </w:p>
    <w:p>
      <w:pPr>
        <w:pStyle w:val="FirstParagraph"/>
      </w:pPr>
      <w:r>
        <w:t xml:space="preserve">For practitioners, the first implication is direct. Institutions using</w:t>
      </w:r>
      <w:r>
        <w:t xml:space="preserve"> </w:t>
      </w:r>
      <w:r>
        <w:t xml:space="preserve">Gaussian value-at-risk systems on Indian equities are understating tail risk</w:t>
      </w:r>
      <w:r>
        <w:t xml:space="preserve"> </w:t>
      </w:r>
      <w:r>
        <w:t xml:space="preserve">substantially, and the correction requires no new data, only the replacement</w:t>
      </w:r>
      <w:r>
        <w:t xml:space="preserve"> </w:t>
      </w:r>
      <w:r>
        <w:t xml:space="preserve">of a distributional assumption with an empirical one estimated from past</w:t>
      </w:r>
      <w:r>
        <w:t xml:space="preserve"> </w:t>
      </w:r>
      <w:r>
        <w:t xml:space="preserve">standardized outcomes.</w:t>
      </w:r>
    </w:p>
    <w:p>
      <w:pPr>
        <w:pStyle w:val="BodyText"/>
      </w:pPr>
      <w:r>
        <w:t xml:space="preserve">For risk managers at the index level, aggregate FII flow is a usable</w:t>
      </w:r>
      <w:r>
        <w:t xml:space="preserve"> </w:t>
      </w:r>
      <w:r>
        <w:t xml:space="preserve">conditioning variable that improves tail calibration at a genuinely deployable</w:t>
      </w:r>
      <w:r>
        <w:t xml:space="preserve"> </w:t>
      </w:r>
      <w:r>
        <w:t xml:space="preserve">lag, provided the underlying volatility model is simple. Institutions already</w:t>
      </w:r>
      <w:r>
        <w:t xml:space="preserve"> </w:t>
      </w:r>
      <w:r>
        <w:t xml:space="preserve">running asymmetric GARCH systems should not expect a gain.</w:t>
      </w:r>
    </w:p>
    <w:p>
      <w:pPr>
        <w:pStyle w:val="BodyText"/>
      </w:pPr>
      <w:r>
        <w:t xml:space="preserve">For researchers, the implication is methodological. A regression coefficient</w:t>
      </w:r>
      <w:r>
        <w:t xml:space="preserve"> </w:t>
      </w:r>
      <w:r>
        <w:t xml:space="preserve">significant at conventional levels is weak evidence that a variable will</w:t>
      </w:r>
      <w:r>
        <w:t xml:space="preserve"> </w:t>
      </w:r>
      <w:r>
        <w:t xml:space="preserve">improve a forecast. Studies claiming predictive content for volatility should</w:t>
      </w:r>
      <w:r>
        <w:t xml:space="preserve"> </w:t>
      </w:r>
      <w:r>
        <w:t xml:space="preserve">report out-of-sample density performance against a competitive benchmark, and</w:t>
      </w:r>
      <w:r>
        <w:t xml:space="preserve"> </w:t>
      </w:r>
      <w:r>
        <w:t xml:space="preserve">pre-registration materially improves the interpretability of the resulting</w:t>
      </w:r>
      <w:r>
        <w:t xml:space="preserve"> </w:t>
      </w:r>
      <w:r>
        <w:t xml:space="preserve">effect sizes.</w:t>
      </w:r>
    </w:p>
    <w:p>
      <w:pPr>
        <w:pStyle w:val="BodyText"/>
      </w:pPr>
      <w:r>
        <w:t xml:space="preserve">For regulators, the institutional share of turnover is a screening variable</w:t>
      </w:r>
      <w:r>
        <w:t xml:space="preserve"> </w:t>
      </w:r>
      <w:r>
        <w:t xml:space="preserve">constructed entirely from data already collected, associating lower</w:t>
      </w:r>
      <w:r>
        <w:t xml:space="preserve"> </w:t>
      </w:r>
      <w:r>
        <w:t xml:space="preserve">institutional participation with elevated subsequent volatility.</w:t>
      </w:r>
    </w:p>
    <w:bookmarkEnd w:id="14"/>
    <w:bookmarkStart w:id="15" w:name="X03c8200815af9f9547e6b02b2caf3222e29ae33"/>
    <w:p>
      <w:pPr>
        <w:pStyle w:val="Heading1"/>
      </w:pPr>
      <w:r>
        <w:t xml:space="preserve">LIMITATIONS OF THE STUDY AND SCOPE FOR FURTHER RESEARCH</w:t>
      </w:r>
    </w:p>
    <w:p>
      <w:pPr>
        <w:pStyle w:val="FirstParagraph"/>
      </w:pPr>
      <w:r>
        <w:t xml:space="preserve">Several limitations qualify these findings. The transaction records are masked</w:t>
      </w:r>
      <w:r>
        <w:t xml:space="preserve"> </w:t>
      </w:r>
      <w:r>
        <w:t xml:space="preserve">at the entity level, so institution-specific characteristics such as mandate,</w:t>
      </w:r>
      <w:r>
        <w:t xml:space="preserve"> </w:t>
      </w:r>
      <w:r>
        <w:t xml:space="preserve">domicile, or investment style cannot be observed, and heterogeneity across</w:t>
      </w:r>
      <w:r>
        <w:t xml:space="preserve"> </w:t>
      </w:r>
      <w:r>
        <w:t xml:space="preserve">institutional types could not be tested. The records contain no intraday</w:t>
      </w:r>
      <w:r>
        <w:t xml:space="preserve"> </w:t>
      </w:r>
      <w:r>
        <w:t xml:space="preserve">timestamps, so trade aggressiveness and execution timing, which the</w:t>
      </w:r>
      <w:r>
        <w:t xml:space="preserve"> </w:t>
      </w:r>
      <w:r>
        <w:t xml:space="preserve">microstructure literature identifies as central to price impact, are outside</w:t>
      </w:r>
      <w:r>
        <w:t xml:space="preserve"> </w:t>
      </w:r>
      <w:r>
        <w:t xml:space="preserve">the scope of this study.</w:t>
      </w:r>
    </w:p>
    <w:p>
      <w:pPr>
        <w:pStyle w:val="BodyText"/>
      </w:pPr>
      <w:r>
        <w:t xml:space="preserve">Five months of flow data are unavailable, two masked at source and three</w:t>
      </w:r>
      <w:r>
        <w:t xml:space="preserve"> </w:t>
      </w:r>
      <w:r>
        <w:t xml:space="preserve">carrying a null direction field, together representing approximately 3% of</w:t>
      </w:r>
      <w:r>
        <w:t xml:space="preserve"> </w:t>
      </w:r>
      <w:r>
        <w:t xml:space="preserve">trades and falling entirely within the test era. These were excluded rather</w:t>
      </w:r>
      <w:r>
        <w:t xml:space="preserve"> </w:t>
      </w:r>
      <w:r>
        <w:t xml:space="preserve">than imputed, which is conservative but reduces test-era power.</w:t>
      </w:r>
    </w:p>
    <w:p>
      <w:pPr>
        <w:pStyle w:val="BodyText"/>
      </w:pPr>
      <w:r>
        <w:t xml:space="preserve">The forecasting results apply to end-of-day risk measurement at horizons of</w:t>
      </w:r>
      <w:r>
        <w:t xml:space="preserve"> </w:t>
      </w:r>
      <w:r>
        <w:t xml:space="preserve">one and five trading days; the engine is not calibrated at twenty days and</w:t>
      </w:r>
      <w:r>
        <w:t xml:space="preserve"> </w:t>
      </w:r>
      <w:r>
        <w:t xml:space="preserve">should not be deployed there. All results concern a single emerging market</w:t>
      </w:r>
      <w:r>
        <w:t xml:space="preserve"> </w:t>
      </w:r>
      <w:r>
        <w:t xml:space="preserve">over a single fourteen-year window that includes one extreme volatility</w:t>
      </w:r>
      <w:r>
        <w:t xml:space="preserve"> </w:t>
      </w:r>
      <w:r>
        <w:t xml:space="preserve">episode.</w:t>
      </w:r>
    </w:p>
    <w:p>
      <w:pPr>
        <w:pStyle w:val="BodyText"/>
      </w:pPr>
      <w:r>
        <w:t xml:space="preserve">Four extensions appear promising. Intraday data would permit the</w:t>
      </w:r>
      <w:r>
        <w:t xml:space="preserve"> </w:t>
      </w:r>
      <w:r>
        <w:t xml:space="preserve">aggressiveness and timing dimensions to be tested directly. Unmasked or</w:t>
      </w:r>
      <w:r>
        <w:t xml:space="preserve"> </w:t>
      </w:r>
      <w:r>
        <w:t xml:space="preserve">partially classified entity identifiers would allow institutional</w:t>
      </w:r>
      <w:r>
        <w:t xml:space="preserve"> </w:t>
      </w:r>
      <w:r>
        <w:t xml:space="preserve">heterogeneity to be examined. Replication in other emerging markets with</w:t>
      </w:r>
      <w:r>
        <w:t xml:space="preserve"> </w:t>
      </w:r>
      <w:r>
        <w:t xml:space="preserve">comparable custodian-level disclosure would establish whether the tail</w:t>
      </w:r>
      <w:r>
        <w:t xml:space="preserve"> </w:t>
      </w:r>
      <w:r>
        <w:t xml:space="preserve">findings generalize. Finally, the systematic gap between regression</w:t>
      </w:r>
      <w:r>
        <w:t xml:space="preserve"> </w:t>
      </w:r>
      <w:r>
        <w:t xml:space="preserve">significance and density-forecast improvement documented here deserves study</w:t>
      </w:r>
      <w:r>
        <w:t xml:space="preserve"> </w:t>
      </w:r>
      <w:r>
        <w:t xml:space="preserve">in its own right, since it bears on a large body of published volatility</w:t>
      </w:r>
      <w:r>
        <w:t xml:space="preserve"> </w:t>
      </w:r>
      <w:r>
        <w:t xml:space="preserve">research.</w:t>
      </w:r>
    </w:p>
    <w:bookmarkEnd w:id="15"/>
    <w:bookmarkStart w:id="16" w:name="authors-contribution"/>
    <w:p>
      <w:pPr>
        <w:pStyle w:val="Heading1"/>
      </w:pPr>
      <w:r>
        <w:t xml:space="preserve">AUTHOR’S CONTRIBUTION</w:t>
      </w:r>
    </w:p>
    <w:p>
      <w:pPr>
        <w:pStyle w:val="FirstParagraph"/>
      </w:pPr>
      <w:r>
        <w:t xml:space="preserve">[INSERT NAME] conceived the research question, designed the empirical</w:t>
      </w:r>
      <w:r>
        <w:t xml:space="preserve"> </w:t>
      </w:r>
      <w:r>
        <w:t xml:space="preserve">strategy, constructed the data pipeline, wrote and audited all estimation</w:t>
      </w:r>
      <w:r>
        <w:t xml:space="preserve"> </w:t>
      </w:r>
      <w:r>
        <w:t xml:space="preserve">code, pre-registered the hypotheses, interpreted the results, and prepared the</w:t>
      </w:r>
      <w:r>
        <w:t xml:space="preserve"> </w:t>
      </w:r>
      <w:r>
        <w:t xml:space="preserve">manuscript.</w:t>
      </w:r>
    </w:p>
    <w:bookmarkEnd w:id="16"/>
    <w:bookmarkStart w:id="17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certifies that there is no conflict of interest with any financial</w:t>
      </w:r>
      <w:r>
        <w:t xml:space="preserve"> </w:t>
      </w:r>
      <w:r>
        <w:t xml:space="preserve">or non-financial interest in the subject matter discussed in this manuscript.</w:t>
      </w:r>
    </w:p>
    <w:bookmarkEnd w:id="17"/>
    <w:bookmarkStart w:id="18" w:name="funding-acknowledgement"/>
    <w:p>
      <w:pPr>
        <w:pStyle w:val="Heading1"/>
      </w:pPr>
      <w:r>
        <w:t xml:space="preserve">FUNDING ACKNOWLEDGEMENT</w:t>
      </w:r>
    </w:p>
    <w:p>
      <w:pPr>
        <w:pStyle w:val="FirstParagraph"/>
      </w:pPr>
      <w:r>
        <w:t xml:space="preserve">The author received no financial support for the research, authorship, and/or</w:t>
      </w:r>
      <w:r>
        <w:t xml:space="preserve"> </w:t>
      </w:r>
      <w:r>
        <w:t xml:space="preserve">publication of this article.</w:t>
      </w:r>
    </w:p>
    <w:bookmarkEnd w:id="18"/>
    <w:bookmarkStart w:id="3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Bekaert, G., &amp; Harvey, C. R. (2000). Foreign speculators and emerging</w:t>
      </w:r>
      <w:r>
        <w:t xml:space="preserve"> </w:t>
      </w:r>
      <w:r>
        <w:t xml:space="preserve">equity markets.</w:t>
      </w:r>
      <w:r>
        <w:t xml:space="preserve"> </w:t>
      </w:r>
      <w:r>
        <w:rPr>
          <w:i/>
          <w:iCs/>
        </w:rPr>
        <w:t xml:space="preserve">The Journal of Finance, 55</w:t>
      </w:r>
      <w:r>
        <w:t xml:space="preserve">(2), 565–613.</w:t>
      </w:r>
      <w:r>
        <w:t xml:space="preserve"> </w:t>
      </w:r>
      <w:hyperlink r:id="rId19">
        <w:r>
          <w:rPr>
            <w:rStyle w:val="Hyperlink"/>
          </w:rPr>
          <w:t xml:space="preserve">https://doi.org/10.1111/0022-1082.00220</w:t>
        </w:r>
      </w:hyperlink>
    </w:p>
    <w:p>
      <w:pPr>
        <w:pStyle w:val="BodyText"/>
      </w:pPr>
      <w:r>
        <w:t xml:space="preserve">Bollerslev, T. (1986). Generalized autoregressive conditional</w:t>
      </w:r>
      <w:r>
        <w:t xml:space="preserve"> </w:t>
      </w:r>
      <w:r>
        <w:t xml:space="preserve">heteroskedasticity.</w:t>
      </w:r>
      <w:r>
        <w:t xml:space="preserve"> </w:t>
      </w:r>
      <w:r>
        <w:rPr>
          <w:i/>
          <w:iCs/>
        </w:rPr>
        <w:t xml:space="preserve">Journal of Econometrics, 31</w:t>
      </w:r>
      <w:r>
        <w:t xml:space="preserve">(3), 307–327.</w:t>
      </w:r>
      <w:r>
        <w:t xml:space="preserve"> </w:t>
      </w:r>
      <w:hyperlink r:id="rId20">
        <w:r>
          <w:rPr>
            <w:rStyle w:val="Hyperlink"/>
          </w:rPr>
          <w:t xml:space="preserve">https://doi.org/10.1016/0304-4076(86)90063-1</w:t>
        </w:r>
      </w:hyperlink>
    </w:p>
    <w:p>
      <w:pPr>
        <w:pStyle w:val="BodyText"/>
      </w:pPr>
      <w:r>
        <w:t xml:space="preserve">Christoffersen, P. F. (1998). Evaluating interval forecasts.</w:t>
      </w:r>
      <w:r>
        <w:t xml:space="preserve"> </w:t>
      </w:r>
      <w:r>
        <w:rPr>
          <w:i/>
          <w:iCs/>
        </w:rPr>
        <w:t xml:space="preserve">International Economic Review, 39</w:t>
      </w:r>
      <w:r>
        <w:t xml:space="preserve">(4), 841–862.</w:t>
      </w:r>
      <w:r>
        <w:t xml:space="preserve"> </w:t>
      </w:r>
      <w:hyperlink r:id="rId21">
        <w:r>
          <w:rPr>
            <w:rStyle w:val="Hyperlink"/>
          </w:rPr>
          <w:t xml:space="preserve">https://doi.org/10.2307/2527341</w:t>
        </w:r>
      </w:hyperlink>
    </w:p>
    <w:p>
      <w:pPr>
        <w:pStyle w:val="BodyText"/>
      </w:pPr>
      <w:r>
        <w:t xml:space="preserve">Dadhich, G., Chotia, V., &amp; Chaudhry, O. (2015). Impact of foreign</w:t>
      </w:r>
      <w:r>
        <w:t xml:space="preserve"> </w:t>
      </w:r>
      <w:r>
        <w:t xml:space="preserve">institutional investments on stock market volatility in India.</w:t>
      </w:r>
      <w:r>
        <w:t xml:space="preserve"> </w:t>
      </w:r>
      <w:r>
        <w:rPr>
          <w:i/>
          <w:iCs/>
        </w:rPr>
        <w:t xml:space="preserve">Indian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Finance, 9</w:t>
      </w:r>
      <w:r>
        <w:t xml:space="preserve">(10), 22–35.</w:t>
      </w:r>
      <w:r>
        <w:t xml:space="preserve"> </w:t>
      </w:r>
      <w:hyperlink r:id="rId22">
        <w:r>
          <w:rPr>
            <w:rStyle w:val="Hyperlink"/>
          </w:rPr>
          <w:t xml:space="preserve">https://doi.org/10.17010/ijf/2015/v9i10/79561</w:t>
        </w:r>
      </w:hyperlink>
    </w:p>
    <w:p>
      <w:pPr>
        <w:pStyle w:val="BodyText"/>
      </w:pPr>
      <w:r>
        <w:t xml:space="preserve">Diebold, F. X., &amp; Mariano, R. S. (1995). Comparing predictive accuracy.</w:t>
      </w:r>
      <w:r>
        <w:t xml:space="preserve"> </w:t>
      </w:r>
      <w:r>
        <w:rPr>
          <w:i/>
          <w:iCs/>
        </w:rPr>
        <w:t xml:space="preserve">Journal of Business &amp; Economic Statistics, 13</w:t>
      </w:r>
      <w:r>
        <w:t xml:space="preserve">(3), 253–263.</w:t>
      </w:r>
      <w:r>
        <w:t xml:space="preserve"> </w:t>
      </w:r>
      <w:hyperlink r:id="rId23">
        <w:r>
          <w:rPr>
            <w:rStyle w:val="Hyperlink"/>
          </w:rPr>
          <w:t xml:space="preserve">https://doi.org/10.1080/07350015.1995.10524599</w:t>
        </w:r>
      </w:hyperlink>
    </w:p>
    <w:p>
      <w:pPr>
        <w:pStyle w:val="BodyText"/>
      </w:pPr>
      <w:r>
        <w:t xml:space="preserve">Easley, D., Kiefer, N. M., O’Hara, M., &amp; Paperman, J. B. (1996).</w:t>
      </w:r>
      <w:r>
        <w:t xml:space="preserve"> </w:t>
      </w:r>
      <w:r>
        <w:t xml:space="preserve">Liquidity, information, and infrequently traded stocks.</w:t>
      </w:r>
      <w:r>
        <w:t xml:space="preserve"> </w:t>
      </w:r>
      <w:r>
        <w:rPr>
          <w:i/>
          <w:iCs/>
        </w:rPr>
        <w:t xml:space="preserve">The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Finance, 51</w:t>
      </w:r>
      <w:r>
        <w:t xml:space="preserve">(4), 1405–1436.</w:t>
      </w:r>
      <w:r>
        <w:t xml:space="preserve"> </w:t>
      </w:r>
      <w:hyperlink r:id="rId24">
        <w:r>
          <w:rPr>
            <w:rStyle w:val="Hyperlink"/>
          </w:rPr>
          <w:t xml:space="preserve">https://doi.org/10.1111/j.1540-6261.1996.tb04074.x</w:t>
        </w:r>
      </w:hyperlink>
    </w:p>
    <w:p>
      <w:pPr>
        <w:pStyle w:val="BodyText"/>
      </w:pPr>
      <w:r>
        <w:t xml:space="preserve">Froot, K. A., O’Connell, P. G. J., &amp; Seasholes, M. S. (2001). The</w:t>
      </w:r>
      <w:r>
        <w:t xml:space="preserve"> </w:t>
      </w:r>
      <w:r>
        <w:t xml:space="preserve">portfolio flows of international investors.</w:t>
      </w:r>
      <w:r>
        <w:t xml:space="preserve"> </w:t>
      </w:r>
      <w:r>
        <w:rPr>
          <w:i/>
          <w:iCs/>
        </w:rPr>
        <w:t xml:space="preserve">Journal of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Economics, 59</w:t>
      </w:r>
      <w:r>
        <w:t xml:space="preserve">(2), 151–193.</w:t>
      </w:r>
      <w:r>
        <w:t xml:space="preserve"> </w:t>
      </w:r>
      <w:hyperlink r:id="rId25">
        <w:r>
          <w:rPr>
            <w:rStyle w:val="Hyperlink"/>
          </w:rPr>
          <w:t xml:space="preserve">https://doi.org/10.1016/S0304-405X(00)00084-2</w:t>
        </w:r>
      </w:hyperlink>
    </w:p>
    <w:p>
      <w:pPr>
        <w:pStyle w:val="BodyText"/>
      </w:pPr>
      <w:r>
        <w:t xml:space="preserve">Glosten, L. R., Jagannathan, R., &amp; Runkle, D. E. (1993). On the</w:t>
      </w:r>
      <w:r>
        <w:t xml:space="preserve"> </w:t>
      </w:r>
      <w:r>
        <w:t xml:space="preserve">relation between the expected value and the volatility of the nominal excess</w:t>
      </w:r>
      <w:r>
        <w:t xml:space="preserve"> </w:t>
      </w:r>
      <w:r>
        <w:t xml:space="preserve">return on stocks.</w:t>
      </w:r>
      <w:r>
        <w:t xml:space="preserve"> </w:t>
      </w:r>
      <w:r>
        <w:rPr>
          <w:i/>
          <w:iCs/>
        </w:rPr>
        <w:t xml:space="preserve">The Journal of Finance, 48</w:t>
      </w:r>
      <w:r>
        <w:t xml:space="preserve">(5), 1779–1801.</w:t>
      </w:r>
      <w:r>
        <w:t xml:space="preserve"> </w:t>
      </w:r>
      <w:hyperlink r:id="rId26">
        <w:r>
          <w:rPr>
            <w:rStyle w:val="Hyperlink"/>
          </w:rPr>
          <w:t xml:space="preserve">https://doi.org/10.1111/j.1540-6261.1993.tb05128.x</w:t>
        </w:r>
      </w:hyperlink>
    </w:p>
    <w:p>
      <w:pPr>
        <w:pStyle w:val="BodyText"/>
      </w:pPr>
      <w:r>
        <w:t xml:space="preserve">Gneiting, T., &amp; Raftery, A. E. (2007). Strictly proper scoring rules,</w:t>
      </w:r>
      <w:r>
        <w:t xml:space="preserve"> </w:t>
      </w:r>
      <w:r>
        <w:t xml:space="preserve">prediction, and estimation.</w:t>
      </w:r>
      <w:r>
        <w:t xml:space="preserve"> </w:t>
      </w:r>
      <w:r>
        <w:rPr>
          <w:i/>
          <w:iCs/>
        </w:rPr>
        <w:t xml:space="preserve">Journal of the American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Association, 102</w:t>
      </w:r>
      <w:r>
        <w:t xml:space="preserve">(477), 359–378.</w:t>
      </w:r>
      <w:r>
        <w:t xml:space="preserve"> </w:t>
      </w:r>
      <w:hyperlink r:id="rId27">
        <w:r>
          <w:rPr>
            <w:rStyle w:val="Hyperlink"/>
          </w:rPr>
          <w:t xml:space="preserve">https://doi.org/10.1198/016214506000001437</w:t>
        </w:r>
      </w:hyperlink>
    </w:p>
    <w:p>
      <w:pPr>
        <w:pStyle w:val="BodyText"/>
      </w:pPr>
      <w:r>
        <w:t xml:space="preserve">Hamilton, J. D. (1989). A new approach to the economic analysis of</w:t>
      </w:r>
      <w:r>
        <w:t xml:space="preserve"> </w:t>
      </w:r>
      <w:r>
        <w:t xml:space="preserve">nonstationary time series and the business cycle.</w:t>
      </w:r>
      <w:r>
        <w:t xml:space="preserve"> </w:t>
      </w:r>
      <w:r>
        <w:rPr>
          <w:i/>
          <w:iCs/>
        </w:rPr>
        <w:t xml:space="preserve">Econometrica, 57</w:t>
      </w:r>
      <w:r>
        <w:t xml:space="preserve">(2),</w:t>
      </w:r>
      <w:r>
        <w:t xml:space="preserve"> </w:t>
      </w:r>
      <w:r>
        <w:t xml:space="preserve">357–384.</w:t>
      </w:r>
      <w:r>
        <w:t xml:space="preserve"> </w:t>
      </w:r>
      <w:hyperlink r:id="rId28">
        <w:r>
          <w:rPr>
            <w:rStyle w:val="Hyperlink"/>
          </w:rPr>
          <w:t xml:space="preserve">https://doi.org/10.2307/1912559</w:t>
        </w:r>
      </w:hyperlink>
    </w:p>
    <w:p>
      <w:pPr>
        <w:pStyle w:val="BodyText"/>
      </w:pPr>
      <w:r>
        <w:t xml:space="preserve">Hansen, P. R., &amp; Lunde, A. (2005). A forecast comparison of volatility</w:t>
      </w:r>
      <w:r>
        <w:t xml:space="preserve"> </w:t>
      </w:r>
      <w:r>
        <w:t xml:space="preserve">models: Does anything beat a GARCH(1,1)?</w:t>
      </w:r>
      <w:r>
        <w:t xml:space="preserve"> </w:t>
      </w:r>
      <w:r>
        <w:rPr>
          <w:i/>
          <w:iCs/>
        </w:rPr>
        <w:t xml:space="preserve">Journal of Applied</w:t>
      </w:r>
      <w:r>
        <w:rPr>
          <w:i/>
          <w:iCs/>
        </w:rPr>
        <w:t xml:space="preserve"> </w:t>
      </w:r>
      <w:r>
        <w:rPr>
          <w:i/>
          <w:iCs/>
        </w:rPr>
        <w:t xml:space="preserve">Econometrics, 20</w:t>
      </w:r>
      <w:r>
        <w:t xml:space="preserve">(7), 873–889.</w:t>
      </w:r>
      <w:r>
        <w:t xml:space="preserve"> </w:t>
      </w:r>
      <w:hyperlink r:id="rId29">
        <w:r>
          <w:rPr>
            <w:rStyle w:val="Hyperlink"/>
          </w:rPr>
          <w:t xml:space="preserve">https://doi.org/10.1002/jae.800</w:t>
        </w:r>
      </w:hyperlink>
    </w:p>
    <w:p>
      <w:pPr>
        <w:pStyle w:val="BodyText"/>
      </w:pPr>
      <w:r>
        <w:t xml:space="preserve">Kupiec, P. H. (1995). Techniques for verifying the accuracy of risk</w:t>
      </w:r>
      <w:r>
        <w:t xml:space="preserve"> </w:t>
      </w:r>
      <w:r>
        <w:t xml:space="preserve">measurement models.</w:t>
      </w:r>
      <w:r>
        <w:t xml:space="preserve"> </w:t>
      </w:r>
      <w:r>
        <w:rPr>
          <w:i/>
          <w:iCs/>
        </w:rPr>
        <w:t xml:space="preserve">The Journal of Derivatives, 3</w:t>
      </w:r>
      <w:r>
        <w:t xml:space="preserve">(2), 73–84.</w:t>
      </w:r>
      <w:r>
        <w:t xml:space="preserve"> </w:t>
      </w:r>
      <w:hyperlink r:id="rId30">
        <w:r>
          <w:rPr>
            <w:rStyle w:val="Hyperlink"/>
          </w:rPr>
          <w:t xml:space="preserve">https://doi.org/10.3905/jod.1995.407942</w:t>
        </w:r>
      </w:hyperlink>
    </w:p>
    <w:p>
      <w:pPr>
        <w:pStyle w:val="BodyText"/>
      </w:pPr>
      <w:r>
        <w:t xml:space="preserve">McNeil, A. J., &amp; Frey, R. (2000). Estimation of tail-related risk</w:t>
      </w:r>
      <w:r>
        <w:t xml:space="preserve"> </w:t>
      </w:r>
      <w:r>
        <w:t xml:space="preserve">measures for heteroscedastic financial time series: An extreme value approach.</w:t>
      </w:r>
      <w:r>
        <w:t xml:space="preserve"> </w:t>
      </w:r>
      <w:r>
        <w:rPr>
          <w:i/>
          <w:iCs/>
        </w:rPr>
        <w:t xml:space="preserve">Journal of Empirical Finance, 7</w:t>
      </w:r>
      <w:r>
        <w:t xml:space="preserve">(3–4), 271–300.</w:t>
      </w:r>
      <w:r>
        <w:t xml:space="preserve"> </w:t>
      </w:r>
      <w:hyperlink r:id="rId31">
        <w:r>
          <w:rPr>
            <w:rStyle w:val="Hyperlink"/>
          </w:rPr>
          <w:t xml:space="preserve">https://doi.org/10.1016/S0927-5398(00)00012-8</w:t>
        </w:r>
      </w:hyperlink>
    </w:p>
    <w:p>
      <w:pPr>
        <w:pStyle w:val="BodyText"/>
      </w:pPr>
      <w:r>
        <w:t xml:space="preserve">Newey, W. K., &amp; West, K. D. (1987). A simple, positive semi-definite,</w:t>
      </w:r>
      <w:r>
        <w:t xml:space="preserve"> </w:t>
      </w:r>
      <w:r>
        <w:t xml:space="preserve">heteroskedasticity and autocorrelation consistent covariance matrix.</w:t>
      </w:r>
      <w:r>
        <w:t xml:space="preserve"> </w:t>
      </w:r>
      <w:r>
        <w:rPr>
          <w:i/>
          <w:iCs/>
        </w:rPr>
        <w:t xml:space="preserve">Econometrica, 55</w:t>
      </w:r>
      <w:r>
        <w:t xml:space="preserve">(3), 703–708.</w:t>
      </w:r>
      <w:r>
        <w:t xml:space="preserve"> </w:t>
      </w:r>
      <w:hyperlink r:id="rId32">
        <w:r>
          <w:rPr>
            <w:rStyle w:val="Hyperlink"/>
          </w:rPr>
          <w:t xml:space="preserve">https://doi.org/10.2307/1913610</w:t>
        </w:r>
      </w:hyperlink>
    </w:p>
    <w:p>
      <w:pPr>
        <w:pStyle w:val="BodyText"/>
      </w:pPr>
      <w:r>
        <w:t xml:space="preserve">Politis, D. N., &amp; Romano, J. P. (1994). The stationary bootstrap.</w:t>
      </w:r>
      <w:r>
        <w:t xml:space="preserve"> </w:t>
      </w:r>
      <w:r>
        <w:rPr>
          <w:i/>
          <w:iCs/>
        </w:rPr>
        <w:t xml:space="preserve">Journal of the American Statistical Association, 89</w:t>
      </w:r>
      <w:r>
        <w:t xml:space="preserve">(428), 1303–1313.</w:t>
      </w:r>
      <w:r>
        <w:t xml:space="preserve"> </w:t>
      </w:r>
      <w:hyperlink r:id="rId33">
        <w:r>
          <w:rPr>
            <w:rStyle w:val="Hyperlink"/>
          </w:rPr>
          <w:t xml:space="preserve">https://doi.org/10.1080/01621459.1994.10476870</w:t>
        </w:r>
      </w:hyperlink>
    </w:p>
    <w:p>
      <w:pPr>
        <w:pStyle w:val="BodyText"/>
      </w:pPr>
      <w:r>
        <w:t xml:space="preserve">Sharma, V. K., Bhatia, S., &amp; Roy, H. (2023). Investment behavior of</w:t>
      </w:r>
      <w:r>
        <w:t xml:space="preserve"> </w:t>
      </w:r>
      <w:r>
        <w:t xml:space="preserve">foreign institutional investors and implied volatility dynamics: An empirical</w:t>
      </w:r>
      <w:r>
        <w:t xml:space="preserve"> </w:t>
      </w:r>
      <w:r>
        <w:t xml:space="preserve">study on the Indian equity derivatives market.</w:t>
      </w:r>
      <w:r>
        <w:t xml:space="preserve"> </w:t>
      </w:r>
      <w:r>
        <w:rPr>
          <w:i/>
          <w:iCs/>
        </w:rPr>
        <w:t xml:space="preserve">Journal of Risk and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Management, 16</w:t>
      </w:r>
      <w:r>
        <w:t xml:space="preserve">(11), Article 470.</w:t>
      </w:r>
      <w:r>
        <w:t xml:space="preserve"> </w:t>
      </w:r>
      <w:hyperlink r:id="rId34">
        <w:r>
          <w:rPr>
            <w:rStyle w:val="Hyperlink"/>
          </w:rPr>
          <w:t xml:space="preserve">https://doi.org/10.3390/jrfm16110470</w:t>
        </w:r>
      </w:hyperlink>
    </w:p>
    <w:p>
      <w:pPr>
        <w:pStyle w:val="BodyText"/>
      </w:pPr>
      <w:r>
        <w:t xml:space="preserve">Sias, R. W. (2004). Institutional herding.</w:t>
      </w:r>
      <w:r>
        <w:t xml:space="preserve"> </w:t>
      </w:r>
      <w:r>
        <w:rPr>
          <w:i/>
          <w:iCs/>
        </w:rPr>
        <w:t xml:space="preserve">The Review of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Studies, 17</w:t>
      </w:r>
      <w:r>
        <w:t xml:space="preserve">(1), 165–206.</w:t>
      </w:r>
      <w:r>
        <w:t xml:space="preserve"> </w:t>
      </w:r>
      <w:hyperlink r:id="rId35">
        <w:r>
          <w:rPr>
            <w:rStyle w:val="Hyperlink"/>
          </w:rPr>
          <w:t xml:space="preserve">https://doi.org/10.1093/rfs/hhg035</w:t>
        </w:r>
      </w:hyperlink>
    </w:p>
    <w:p>
      <w:pPr>
        <w:pStyle w:val="BodyText"/>
      </w:pPr>
      <w:r>
        <w:t xml:space="preserve">Varughese, A., &amp; Mathew, T. (2017). Asymmetric volatility of the Indian</w:t>
      </w:r>
      <w:r>
        <w:t xml:space="preserve"> </w:t>
      </w:r>
      <w:r>
        <w:t xml:space="preserve">stock market and foreign portfolio investments: An empirical study.</w:t>
      </w:r>
      <w:r>
        <w:t xml:space="preserve"> </w:t>
      </w:r>
      <w:r>
        <w:rPr>
          <w:i/>
          <w:iCs/>
        </w:rPr>
        <w:t xml:space="preserve">Indian Journal of Finance, 11</w:t>
      </w:r>
      <w:r>
        <w:t xml:space="preserve">(6), 36–49.</w:t>
      </w:r>
      <w:r>
        <w:t xml:space="preserve"> </w:t>
      </w:r>
      <w:hyperlink r:id="rId36">
        <w:r>
          <w:rPr>
            <w:rStyle w:val="Hyperlink"/>
          </w:rPr>
          <w:t xml:space="preserve">https://doi.org/10.17010/ijf/2017/v11i6/115595</w:t>
        </w:r>
      </w:hyperlink>
    </w:p>
    <w:bookmarkEnd w:id="37"/>
    <w:sectPr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color w:val="000000"/>
      </w:rPr>
    </w:rPrDefault>
    <w:pPrDefault>
      <w:pPr>
        <w:spacing w:after="240" w:before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2/jae.800" TargetMode="External" /><Relationship Type="http://schemas.openxmlformats.org/officeDocument/2006/relationships/hyperlink" Id="rId20" Target="https://doi.org/10.1016/0304-4076(86)90063-1" TargetMode="External" /><Relationship Type="http://schemas.openxmlformats.org/officeDocument/2006/relationships/hyperlink" Id="rId25" Target="https://doi.org/10.1016/S0304-405X(00)00084-2" TargetMode="External" /><Relationship Type="http://schemas.openxmlformats.org/officeDocument/2006/relationships/hyperlink" Id="rId31" Target="https://doi.org/10.1016/S0927-5398(00)00012-8" TargetMode="External" /><Relationship Type="http://schemas.openxmlformats.org/officeDocument/2006/relationships/hyperlink" Id="rId33" Target="https://doi.org/10.1080/01621459.1994.10476870" TargetMode="External" /><Relationship Type="http://schemas.openxmlformats.org/officeDocument/2006/relationships/hyperlink" Id="rId23" Target="https://doi.org/10.1080/07350015.1995.10524599" TargetMode="External" /><Relationship Type="http://schemas.openxmlformats.org/officeDocument/2006/relationships/hyperlink" Id="rId35" Target="https://doi.org/10.1093/rfs/hhg035" TargetMode="External" /><Relationship Type="http://schemas.openxmlformats.org/officeDocument/2006/relationships/hyperlink" Id="rId19" Target="https://doi.org/10.1111/0022-1082.00220" TargetMode="External" /><Relationship Type="http://schemas.openxmlformats.org/officeDocument/2006/relationships/hyperlink" Id="rId26" Target="https://doi.org/10.1111/j.1540-6261.1993.tb05128.x" TargetMode="External" /><Relationship Type="http://schemas.openxmlformats.org/officeDocument/2006/relationships/hyperlink" Id="rId24" Target="https://doi.org/10.1111/j.1540-6261.1996.tb04074.x" TargetMode="External" /><Relationship Type="http://schemas.openxmlformats.org/officeDocument/2006/relationships/hyperlink" Id="rId27" Target="https://doi.org/10.1198/016214506000001437" TargetMode="External" /><Relationship Type="http://schemas.openxmlformats.org/officeDocument/2006/relationships/hyperlink" Id="rId22" Target="https://doi.org/10.17010/ijf/2015/v9i10/79561" TargetMode="External" /><Relationship Type="http://schemas.openxmlformats.org/officeDocument/2006/relationships/hyperlink" Id="rId36" Target="https://doi.org/10.17010/ijf/2017/v11i6/115595" TargetMode="External" /><Relationship Type="http://schemas.openxmlformats.org/officeDocument/2006/relationships/hyperlink" Id="rId28" Target="https://doi.org/10.2307/1912559" TargetMode="External" /><Relationship Type="http://schemas.openxmlformats.org/officeDocument/2006/relationships/hyperlink" Id="rId32" Target="https://doi.org/10.2307/1913610" TargetMode="External" /><Relationship Type="http://schemas.openxmlformats.org/officeDocument/2006/relationships/hyperlink" Id="rId21" Target="https://doi.org/10.2307/2527341" TargetMode="External" /><Relationship Type="http://schemas.openxmlformats.org/officeDocument/2006/relationships/hyperlink" Id="rId34" Target="https://doi.org/10.3390/jrfm16110470" TargetMode="External" /><Relationship Type="http://schemas.openxmlformats.org/officeDocument/2006/relationships/hyperlink" Id="rId30" Target="https://doi.org/10.3905/jod.1995.4079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2/jae.800" TargetMode="External" /><Relationship Type="http://schemas.openxmlformats.org/officeDocument/2006/relationships/hyperlink" Id="rId20" Target="https://doi.org/10.1016/0304-4076(86)90063-1" TargetMode="External" /><Relationship Type="http://schemas.openxmlformats.org/officeDocument/2006/relationships/hyperlink" Id="rId25" Target="https://doi.org/10.1016/S0304-405X(00)00084-2" TargetMode="External" /><Relationship Type="http://schemas.openxmlformats.org/officeDocument/2006/relationships/hyperlink" Id="rId31" Target="https://doi.org/10.1016/S0927-5398(00)00012-8" TargetMode="External" /><Relationship Type="http://schemas.openxmlformats.org/officeDocument/2006/relationships/hyperlink" Id="rId33" Target="https://doi.org/10.1080/01621459.1994.10476870" TargetMode="External" /><Relationship Type="http://schemas.openxmlformats.org/officeDocument/2006/relationships/hyperlink" Id="rId23" Target="https://doi.org/10.1080/07350015.1995.10524599" TargetMode="External" /><Relationship Type="http://schemas.openxmlformats.org/officeDocument/2006/relationships/hyperlink" Id="rId35" Target="https://doi.org/10.1093/rfs/hhg035" TargetMode="External" /><Relationship Type="http://schemas.openxmlformats.org/officeDocument/2006/relationships/hyperlink" Id="rId19" Target="https://doi.org/10.1111/0022-1082.00220" TargetMode="External" /><Relationship Type="http://schemas.openxmlformats.org/officeDocument/2006/relationships/hyperlink" Id="rId26" Target="https://doi.org/10.1111/j.1540-6261.1993.tb05128.x" TargetMode="External" /><Relationship Type="http://schemas.openxmlformats.org/officeDocument/2006/relationships/hyperlink" Id="rId24" Target="https://doi.org/10.1111/j.1540-6261.1996.tb04074.x" TargetMode="External" /><Relationship Type="http://schemas.openxmlformats.org/officeDocument/2006/relationships/hyperlink" Id="rId27" Target="https://doi.org/10.1198/016214506000001437" TargetMode="External" /><Relationship Type="http://schemas.openxmlformats.org/officeDocument/2006/relationships/hyperlink" Id="rId22" Target="https://doi.org/10.17010/ijf/2015/v9i10/79561" TargetMode="External" /><Relationship Type="http://schemas.openxmlformats.org/officeDocument/2006/relationships/hyperlink" Id="rId36" Target="https://doi.org/10.17010/ijf/2017/v11i6/115595" TargetMode="External" /><Relationship Type="http://schemas.openxmlformats.org/officeDocument/2006/relationships/hyperlink" Id="rId28" Target="https://doi.org/10.2307/1912559" TargetMode="External" /><Relationship Type="http://schemas.openxmlformats.org/officeDocument/2006/relationships/hyperlink" Id="rId32" Target="https://doi.org/10.2307/1913610" TargetMode="External" /><Relationship Type="http://schemas.openxmlformats.org/officeDocument/2006/relationships/hyperlink" Id="rId21" Target="https://doi.org/10.2307/2527341" TargetMode="External" /><Relationship Type="http://schemas.openxmlformats.org/officeDocument/2006/relationships/hyperlink" Id="rId34" Target="https://doi.org/10.3390/jrfm16110470" TargetMode="External" /><Relationship Type="http://schemas.openxmlformats.org/officeDocument/2006/relationships/hyperlink" Id="rId30" Target="https://doi.org/10.3905/jod.1995.4079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2026-08-23T12:09:19Z</dcterms:created>
  <dcterms:modified xsi:type="dcterms:W3CDTF">2026-08-23T12:09:19Z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