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Participation Concentration and the Transitory–Permanent Decomposition of Foreign Institutional Price Impact: Evidence from India (2011–2025)</w:t>
      </w:r>
    </w:p>
    <w:p>
      <w:pPr>
        <w:spacing w:after="40" w:before="480"/>
      </w:pPr>
      <w:r>
        <w:rPr>
          <w:rFonts w:ascii="Times New Roman" w:cs="Times New Roman" w:eastAsia="Times New Roman" w:hAnsi="Times New Roman"/>
          <w:i/>
          <w:iCs/>
          <w:sz w:val="22"/>
          <w:szCs w:val="22"/>
        </w:rPr>
        <w:t xml:space="preserve">Cover Page (Author Details — for editorial use only; removed from the blinded manuscript)</w:t>
      </w:r>
    </w:p>
    <w:p>
      <w:pPr>
        <w:spacing w:after="20"/>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Divyansh Singh</w:t>
      </w:r>
    </w:p>
    <w:p>
      <w:pPr>
        <w:spacing w:after="20"/>
      </w:pPr>
      <w:r>
        <w:rPr>
          <w:rFonts w:ascii="Times New Roman" w:cs="Times New Roman" w:eastAsia="Times New Roman" w:hAnsi="Times New Roman"/>
          <w:b/>
          <w:bCs/>
          <w:sz w:val="24"/>
          <w:szCs w:val="24"/>
        </w:rPr>
        <w:t xml:space="preserve">Designation: </w:t>
      </w:r>
      <w:r>
        <w:rPr>
          <w:rFonts w:ascii="Times New Roman" w:cs="Times New Roman" w:eastAsia="Times New Roman" w:hAnsi="Times New Roman"/>
          <w:sz w:val="24"/>
          <w:szCs w:val="24"/>
        </w:rPr>
        <w:t xml:space="preserve">Undergraduate Researcher, [Department]</w:t>
      </w:r>
    </w:p>
    <w:p>
      <w:pPr>
        <w:spacing w:after="20"/>
      </w:pPr>
      <w:r>
        <w:rPr>
          <w:rFonts w:ascii="Times New Roman" w:cs="Times New Roman" w:eastAsia="Times New Roman" w:hAnsi="Times New Roman"/>
          <w:b/>
          <w:bCs/>
          <w:sz w:val="24"/>
          <w:szCs w:val="24"/>
        </w:rPr>
        <w:t xml:space="preserve">Institute: </w:t>
      </w:r>
      <w:r>
        <w:rPr>
          <w:rFonts w:ascii="Times New Roman" w:cs="Times New Roman" w:eastAsia="Times New Roman" w:hAnsi="Times New Roman"/>
          <w:sz w:val="24"/>
          <w:szCs w:val="24"/>
        </w:rPr>
        <w:t xml:space="preserve">[Institute Name], [Full Address], [City], [State] – [PIN]</w:t>
      </w:r>
    </w:p>
    <w:p>
      <w:pPr>
        <w:spacing w:after="20"/>
      </w:pPr>
      <w:r>
        <w:rPr>
          <w:rFonts w:ascii="Times New Roman" w:cs="Times New Roman" w:eastAsia="Times New Roman" w:hAnsi="Times New Roman"/>
          <w:b/>
          <w:bCs/>
          <w:sz w:val="24"/>
          <w:szCs w:val="24"/>
        </w:rPr>
        <w:t xml:space="preserve">Email: </w:t>
      </w:r>
      <w:r>
        <w:rPr>
          <w:rFonts w:ascii="Times New Roman" w:cs="Times New Roman" w:eastAsia="Times New Roman" w:hAnsi="Times New Roman"/>
          <w:sz w:val="24"/>
          <w:szCs w:val="24"/>
        </w:rPr>
        <w:t xml:space="preserve">divyanshsinghpost@gmail.com</w:t>
      </w:r>
    </w:p>
    <w:p>
      <w:pPr>
        <w:spacing w:after="20"/>
      </w:pPr>
      <w:r>
        <w:rPr>
          <w:rFonts w:ascii="Times New Roman" w:cs="Times New Roman" w:eastAsia="Times New Roman" w:hAnsi="Times New Roman"/>
          <w:b/>
          <w:bCs/>
          <w:sz w:val="24"/>
          <w:szCs w:val="24"/>
        </w:rPr>
        <w:t xml:space="preserve">ORCID: </w:t>
      </w:r>
      <w:r>
        <w:rPr>
          <w:rFonts w:ascii="Times New Roman" w:cs="Times New Roman" w:eastAsia="Times New Roman" w:hAnsi="Times New Roman"/>
          <w:sz w:val="24"/>
          <w:szCs w:val="24"/>
        </w:rPr>
        <w:t xml:space="preserve">[0000-0000-0000-0000]</w:t>
      </w:r>
    </w:p>
    <w:p>
      <w:pPr>
        <w:spacing w:before="360"/>
      </w:pPr>
      <w:r>
        <w:rPr>
          <w:rFonts w:ascii="Times New Roman" w:cs="Times New Roman" w:eastAsia="Times New Roman" w:hAnsi="Times New Roman"/>
          <w:sz w:val="22"/>
          <w:szCs w:val="22"/>
        </w:rPr>
        <w:t xml:space="preserve">Corresponding author: Divyansh Singh.</w:t>
      </w:r>
    </w:p>
    <w:p>
      <w:pPr>
        <w:spacing w:before="60"/>
      </w:pPr>
      <w:r>
        <w:rPr>
          <w:rFonts w:ascii="Times New Roman" w:cs="Times New Roman" w:eastAsia="Times New Roman" w:hAnsi="Times New Roman"/>
          <w:i/>
          <w:iCs/>
          <w:sz w:val="20"/>
          <w:szCs w:val="20"/>
        </w:rPr>
        <w:t xml:space="preserve">Note. The author's name and affiliation appear only on this cover page. The manuscript that follows is fully blinded.</w:t>
      </w:r>
    </w:p>
    <w:p>
      <w:r>
        <w:br w:type="page"/>
      </w:r>
    </w:p>
    <w:p>
      <w:pPr>
        <w:spacing w:after="200" w:line="360" w:lineRule="auto"/>
        <w:jc w:val="center"/>
      </w:pPr>
      <w:r>
        <w:rPr>
          <w:rFonts w:ascii="Times New Roman" w:cs="Times New Roman" w:eastAsia="Times New Roman" w:hAnsi="Times New Roman"/>
          <w:b/>
          <w:bCs/>
          <w:sz w:val="28"/>
          <w:szCs w:val="28"/>
        </w:rPr>
        <w:t xml:space="preserve">Participation Concentration and the Transitory–Permanent Decomposition of Foreign Institutional Price Impact: Evidence from India (2011–2025)</w:t>
      </w:r>
    </w:p>
    <w:p>
      <w:pPr>
        <w:spacing w:after="120" w:before="240" w:line="480" w:lineRule="auto"/>
      </w:pPr>
      <w:r>
        <w:rPr>
          <w:rFonts w:ascii="Times New Roman" w:cs="Times New Roman" w:eastAsia="Times New Roman" w:hAnsi="Times New Roman"/>
          <w:b/>
          <w:bCs/>
          <w:sz w:val="24"/>
          <w:szCs w:val="24"/>
        </w:rPr>
        <w:t xml:space="preserve">ABSTRACT</w:t>
      </w:r>
    </w:p>
    <w:p>
      <w:pPr>
        <w:spacing w:after="120" w:line="360" w:lineRule="auto"/>
        <w:jc w:val="both"/>
      </w:pPr>
      <w:r>
        <w:rPr>
          <w:rFonts w:ascii="Times New Roman" w:cs="Times New Roman" w:eastAsia="Times New Roman" w:hAnsi="Times New Roman"/>
          <w:sz w:val="24"/>
          <w:szCs w:val="24"/>
        </w:rPr>
        <w:t xml:space="preserve">Purpose. This study examined when foreign institutional investor (FII) flow moved Indian equity prices permanently and when its impact was transitory, and whether the concentration of participation — rather than the magnitude of flow — governed the distinction. Design/Methodology/Approach. Fourteen years (2011–2025) of masked, daily, stock-level FII transaction records from India's NSDL depository were used to construct ten within-day, cross-sectionally ranked flow features. A three-state Gaussian hidden Markov model estimated a directional flow backbone, over which calibrated concentration overlays defined four flow archetypes. The taxonomy was frozen on a training sample ending April 2021, before any price-based validation. Economic relevance was tested out of sample through event studies, two-way clustered panel regressions, robustness and placebo checks, and an independent Easley–O'Hara probability-of-informed-trading (PIN) estimator. Findings. Concentration, not magnitude, separated the two forms of impact. Concentrated selling was followed by a 20-day abnormal reversal of +48.6 basis points out of sample (+65.4 in sample), accompanied by a volume climax, whereas dispersed selling of comparable magnitude showed no reversal at any horizon — the decline was permanent. The return-blind PIN estimator loaded roughly three times more heavily on dispersed-selling exposure, endorsing the reading that dispersed flow was information and concentrated flow was liquidity demand. The result inverted the study's pre-registered hypothesis. Practical Implications. The composition measure was computable nightly from depository data and quantified the execution cost — approximately 37–49 basis points — forfeited by trading through a concentrated-selling episode rather than after it. Originality/Value. The study reframed institutional price impact around a probabilistic, participation-composition measure and validated it through a pre-registered, falsification-first protocol.</w:t>
      </w:r>
    </w:p>
    <w:p>
      <w:pPr>
        <w:spacing w:after="60" w:before="80" w:line="360" w:lineRule="auto"/>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foreign institutional investors, price impact, market microstructure, hidden Markov model, informed trading, liquidity</w:t>
      </w:r>
    </w:p>
    <w:p>
      <w:pPr>
        <w:spacing w:after="60" w:line="360" w:lineRule="auto"/>
      </w:pPr>
      <w:r>
        <w:rPr>
          <w:rFonts w:ascii="Times New Roman" w:cs="Times New Roman" w:eastAsia="Times New Roman" w:hAnsi="Times New Roman"/>
          <w:b/>
          <w:bCs/>
          <w:sz w:val="24"/>
          <w:szCs w:val="24"/>
        </w:rPr>
        <w:t xml:space="preserve">JEL Classification: </w:t>
      </w:r>
      <w:r>
        <w:rPr>
          <w:rFonts w:ascii="Times New Roman" w:cs="Times New Roman" w:eastAsia="Times New Roman" w:hAnsi="Times New Roman"/>
          <w:sz w:val="24"/>
          <w:szCs w:val="24"/>
        </w:rPr>
        <w:t xml:space="preserve">G12, G14, G15</w:t>
      </w:r>
    </w:p>
    <w:p>
      <w:pPr>
        <w:spacing w:after="60" w:line="360" w:lineRule="auto"/>
      </w:pPr>
      <w:r>
        <w:rPr>
          <w:rFonts w:ascii="Times New Roman" w:cs="Times New Roman" w:eastAsia="Times New Roman" w:hAnsi="Times New Roman"/>
          <w:b/>
          <w:bCs/>
          <w:sz w:val="24"/>
          <w:szCs w:val="24"/>
        </w:rPr>
        <w:t xml:space="preserve">Paper Submission Date: </w:t>
      </w:r>
      <w:r>
        <w:rPr>
          <w:rFonts w:ascii="Times New Roman" w:cs="Times New Roman" w:eastAsia="Times New Roman" w:hAnsi="Times New Roman"/>
          <w:sz w:val="24"/>
          <w:szCs w:val="24"/>
        </w:rPr>
        <w:t xml:space="preserve">[__________]   </w:t>
      </w:r>
      <w:r>
        <w:rPr>
          <w:rFonts w:ascii="Times New Roman" w:cs="Times New Roman" w:eastAsia="Times New Roman" w:hAnsi="Times New Roman"/>
          <w:b/>
          <w:bCs/>
          <w:sz w:val="24"/>
          <w:szCs w:val="24"/>
        </w:rPr>
        <w:t xml:space="preserve">Paper Sent Back for Revision: </w:t>
      </w:r>
      <w:r>
        <w:rPr>
          <w:rFonts w:ascii="Times New Roman" w:cs="Times New Roman" w:eastAsia="Times New Roman" w:hAnsi="Times New Roman"/>
          <w:sz w:val="24"/>
          <w:szCs w:val="24"/>
        </w:rPr>
        <w:t xml:space="preserve">[__________]   </w:t>
      </w:r>
      <w:r>
        <w:rPr>
          <w:rFonts w:ascii="Times New Roman" w:cs="Times New Roman" w:eastAsia="Times New Roman" w:hAnsi="Times New Roman"/>
          <w:b/>
          <w:bCs/>
          <w:sz w:val="24"/>
          <w:szCs w:val="24"/>
        </w:rPr>
        <w:t xml:space="preserve">Paper Acceptance Date: </w:t>
      </w:r>
      <w:r>
        <w:rPr>
          <w:rFonts w:ascii="Times New Roman" w:cs="Times New Roman" w:eastAsia="Times New Roman" w:hAnsi="Times New Roman"/>
          <w:sz w:val="24"/>
          <w:szCs w:val="24"/>
        </w:rPr>
        <w:t xml:space="preserve">[__________]</w:t>
      </w:r>
    </w:p>
    <w:p>
      <w:r>
        <w:br w:type="page"/>
      </w:r>
    </w:p>
    <w:p>
      <w:pPr>
        <w:spacing w:after="120" w:before="240" w:line="480" w:lineRule="auto"/>
      </w:pPr>
      <w:r>
        <w:rPr>
          <w:rFonts w:ascii="Times New Roman" w:cs="Times New Roman" w:eastAsia="Times New Roman" w:hAnsi="Times New Roman"/>
          <w:b/>
          <w:bCs/>
          <w:sz w:val="24"/>
          <w:szCs w:val="24"/>
        </w:rPr>
        <w:t xml:space="preserve">INTRODUCTION</w:t>
      </w:r>
    </w:p>
    <w:p>
      <w:pPr>
        <w:spacing w:after="0" w:before="0" w:line="480" w:lineRule="auto"/>
        <w:jc w:val="both"/>
      </w:pPr>
      <w:r>
        <w:rPr>
          <w:rFonts w:ascii="Times New Roman" w:cs="Times New Roman" w:eastAsia="Times New Roman" w:hAnsi="Times New Roman"/>
          <w:sz w:val="24"/>
          <w:szCs w:val="24"/>
        </w:rPr>
        <w:t xml:space="preserve">Foreign institutional flow is the single largest marginal force in Indian equities, and the question of whether such flow informs prices or merely presses on them is as old as the emerging-market flow literature. The conventional approach measures the magnitude of flow — net purchases, in rupees or shares — and asks whether subsequent returns continue or revert. This study argues that magnitude is the wrong axis. Two selling days of identical size can represent opposite economic events: one a single desk demanding immediacy, the other forty institutions independently trimming a position. The first is a liquidity event and should revert; the second aggregates dispersed information and should not.</w:t>
      </w:r>
    </w:p>
    <w:p>
      <w:pPr>
        <w:spacing w:after="0" w:before="0" w:line="480" w:lineRule="auto"/>
        <w:jc w:val="both"/>
      </w:pPr>
      <w:r>
        <w:rPr>
          <w:rFonts w:ascii="Times New Roman" w:cs="Times New Roman" w:eastAsia="Times New Roman" w:hAnsi="Times New Roman"/>
          <w:sz w:val="24"/>
          <w:szCs w:val="24"/>
        </w:rPr>
        <w:t xml:space="preserve">The obstacle is that flow composition is rarely observable. The data used here resolves it partially. NSDL's masked FII transaction records preserve, within each calendar month, distinct masked entity identifiers, so for every stock-day the records reveal not only how much FIIs traded but how many of them participated and how skewed that participation was. Ten leakage-disciplined, cross-sectionally ranked flow features were built from these records; a three-state hidden Markov model (HMM) was fitted on the directional axis; and calibrated concentration rules were overlaid, yielding four archetypes — a baseline two-sided state, concentrated selling, concentrated buying, and dispersed persistent selling. The taxonomy was frozen, with the training sample ending in April 2021 and thresholds calibrated under built-in falsification tests, before any price-based validation began.</w:t>
      </w:r>
    </w:p>
    <w:p>
      <w:pPr>
        <w:spacing w:after="0" w:before="0" w:line="480" w:lineRule="auto"/>
        <w:jc w:val="both"/>
      </w:pPr>
      <w:r>
        <w:rPr>
          <w:rFonts w:ascii="Times New Roman" w:cs="Times New Roman" w:eastAsia="Times New Roman" w:hAnsi="Times New Roman"/>
          <w:sz w:val="24"/>
          <w:szCs w:val="24"/>
        </w:rPr>
        <w:t xml:space="preserve">The headline result is a clean transitory–permanent decomposition along the concentration axis. In a panel regression with stock and date fixed effects and two-way clustered errors, the 20-day abnormal return following the end of a concentrated-selling episode was +65.4 basis points (bp) in the training era and +48.6 bp out of sample; concentrated buying mirrored the pattern. Dispersed selling of the same direction and comparable magnitude was statistically indistinguishable from zero at every horizon from 10 to 60 days. Concentration separated liquidity from information.</w:t>
      </w:r>
    </w:p>
    <w:p>
      <w:pPr>
        <w:spacing w:after="0" w:before="0" w:line="480" w:lineRule="auto"/>
        <w:jc w:val="both"/>
      </w:pPr>
      <w:r>
        <w:rPr>
          <w:rFonts w:ascii="Times New Roman" w:cs="Times New Roman" w:eastAsia="Times New Roman" w:hAnsi="Times New Roman"/>
          <w:sz w:val="24"/>
          <w:szCs w:val="24"/>
        </w:rPr>
        <w:t xml:space="preserve">An unusual feature of the study is stressed at the outset: the result is the inverse of the pre-registered hypothesis. The concentrated archetype was expected to reflect informed “shark” trading, and the dispersed archetype forced, reverting fire-sales. The data refused both. The refutation is reported rather than hidden, because the validation protocol that produced it — pre-registered predictions, one gated test per step, read-only diagnostics before any correction — is itself part of the contribution.</w:t>
      </w:r>
    </w:p>
    <w:p>
      <w:pPr>
        <w:spacing w:after="120" w:before="240" w:line="480" w:lineRule="auto"/>
      </w:pPr>
      <w:r>
        <w:rPr>
          <w:rFonts w:ascii="Times New Roman" w:cs="Times New Roman" w:eastAsia="Times New Roman" w:hAnsi="Times New Roman"/>
          <w:b/>
          <w:bCs/>
          <w:sz w:val="24"/>
          <w:szCs w:val="24"/>
        </w:rPr>
        <w:t xml:space="preserve">REVIEW OF LITERATURE</w:t>
      </w:r>
    </w:p>
    <w:p>
      <w:pPr>
        <w:spacing w:after="0" w:before="0" w:line="480" w:lineRule="auto"/>
        <w:jc w:val="both"/>
      </w:pPr>
      <w:r>
        <w:rPr>
          <w:rFonts w:ascii="Times New Roman" w:cs="Times New Roman" w:eastAsia="Times New Roman" w:hAnsi="Times New Roman"/>
          <w:sz w:val="24"/>
          <w:szCs w:val="24"/>
        </w:rPr>
        <w:t xml:space="preserve">The study connects three strands of the market microstructure and institutional-flow literature. The first concerns price pressure and reversal. Kyle (1985) formalized how order flow moves prices in the presence of asymmetric information, while Campbell, Grossman, and Wang (1993) showed that returns accompanied by high volume tend to reverse, consistent with liquidity provision. Coval and Stafford (2007) documented that institutional fire sales generate temporary price pressure that subsequently reverses, tying the transitory component of impact to forced, liquidity-demanding trading.</w:t>
      </w:r>
    </w:p>
    <w:p>
      <w:pPr>
        <w:spacing w:after="0" w:before="0" w:line="480" w:lineRule="auto"/>
        <w:jc w:val="both"/>
      </w:pPr>
      <w:r>
        <w:rPr>
          <w:rFonts w:ascii="Times New Roman" w:cs="Times New Roman" w:eastAsia="Times New Roman" w:hAnsi="Times New Roman"/>
          <w:sz w:val="24"/>
          <w:szCs w:val="24"/>
        </w:rPr>
        <w:t xml:space="preserve">The second strand concerns informed institutional trading. Easley, Kiefer, O'Hara, and Paperman (1996) developed a structural estimator of the probability of informed trading (PIN) from the arrival counts of buy and sell orders, providing a returns-blind measure of information asymmetry. Nofsinger and Sias (1999) and Sias, Starks, and Titman (2006) linked changes in institutional ownership to returns, and Lakonishok, Shleifer, and Vishny (1992) introduced a measure of institutional herding whose spirit — how concentrated participation is within an investor class — anticipates the composition axis studied here.</w:t>
      </w:r>
    </w:p>
    <w:p>
      <w:pPr>
        <w:spacing w:after="0" w:before="0" w:line="480" w:lineRule="auto"/>
        <w:jc w:val="both"/>
      </w:pPr>
      <w:r>
        <w:rPr>
          <w:rFonts w:ascii="Times New Roman" w:cs="Times New Roman" w:eastAsia="Times New Roman" w:hAnsi="Times New Roman"/>
          <w:sz w:val="24"/>
          <w:szCs w:val="24"/>
        </w:rPr>
        <w:t xml:space="preserve">The third strand concerns foreign flow in emerging markets. Froot, O'Connell, and Seasholes (2001) and Bekaert, Harvey, and Lumsdaine (2002) characterized the dynamics and persistence of international investor flows. This literature has overwhelmingly measured flow by magnitude. The present study departs by measuring the composition of participation and by using an unsupervised latent-state model (Rabiner, 1989) to organize the flow record into economically distinct regimes before validation.</w:t>
      </w:r>
    </w:p>
    <w:p>
      <w:pPr>
        <w:spacing w:after="120" w:before="240" w:line="480" w:lineRule="auto"/>
      </w:pPr>
      <w:r>
        <w:rPr>
          <w:rFonts w:ascii="Times New Roman" w:cs="Times New Roman" w:eastAsia="Times New Roman" w:hAnsi="Times New Roman"/>
          <w:b/>
          <w:bCs/>
          <w:sz w:val="24"/>
          <w:szCs w:val="24"/>
        </w:rPr>
        <w:t xml:space="preserve">DATA</w:t>
      </w:r>
    </w:p>
    <w:p>
      <w:pPr>
        <w:spacing w:after="80" w:before="160" w:line="480" w:lineRule="auto"/>
      </w:pPr>
      <w:r>
        <w:rPr>
          <w:rFonts w:ascii="Times New Roman" w:cs="Times New Roman" w:eastAsia="Times New Roman" w:hAnsi="Times New Roman"/>
          <w:b/>
          <w:bCs/>
          <w:i/>
          <w:iCs/>
          <w:sz w:val="24"/>
          <w:szCs w:val="24"/>
        </w:rPr>
        <w:t xml:space="preserve">FII Transactions and Prices</w:t>
      </w:r>
    </w:p>
    <w:p>
      <w:pPr>
        <w:spacing w:after="0" w:before="0" w:line="480" w:lineRule="auto"/>
        <w:jc w:val="both"/>
      </w:pPr>
      <w:r>
        <w:rPr>
          <w:rFonts w:ascii="Times New Roman" w:cs="Times New Roman" w:eastAsia="Times New Roman" w:hAnsi="Times New Roman"/>
          <w:sz w:val="24"/>
          <w:szCs w:val="24"/>
        </w:rPr>
        <w:t xml:space="preserve">The primary dataset comprised NSDL masked, stock-level FII trade records for April 2011 through March 2025, each record carrying a date, a masked entity code, an ISIN, a buy/sell flag, quantity, and rate. Entity codes are stable within a month only; consequently every entity-based feature is computed within-month by construction, a design constraint verified in a dedicated identifier audit and carried as a stated limitation. Daily price data were drawn from the NSE bhavcopy for the full period on a survivorship-free basis, with delisted names retained and event windows truncated at last trade rather than dropped.</w:t>
      </w:r>
    </w:p>
    <w:p>
      <w:pPr>
        <w:spacing w:after="0" w:before="0" w:line="480" w:lineRule="auto"/>
        <w:jc w:val="both"/>
      </w:pPr>
      <w:r>
        <w:rPr>
          <w:rFonts w:ascii="Times New Roman" w:cs="Times New Roman" w:eastAsia="Times New Roman" w:hAnsi="Times New Roman"/>
          <w:sz w:val="24"/>
          <w:szCs w:val="24"/>
        </w:rPr>
        <w:t xml:space="preserve">Raw close-to-close returns were corporate-action adjusted using factors parsed from NSE corporate-action files; each factor was verified against the tape through the observed ex-day price ratio, with 99.1% of applied factors tape-confirmed. Across 803 confirmed ex-days the median absolute return fell from 0.508 (raw) to 0.038 (adjusted). ISIN identity was resolved from 5,960 raw FII-side ISINs to 3,812 canonical identities through an issuer-bounded closure, raising price coverage of model stock-days from 90.4% to 98.49%. The final model universe was 946 canonical ISINs spanning 939 companies in the liquid large- and mid-capitalisation segment.</w:t>
      </w:r>
    </w:p>
    <w:p>
      <w:pPr>
        <w:spacing w:after="80" w:before="160" w:line="480" w:lineRule="auto"/>
      </w:pPr>
      <w:r>
        <w:rPr>
          <w:rFonts w:ascii="Times New Roman" w:cs="Times New Roman" w:eastAsia="Times New Roman" w:hAnsi="Times New Roman"/>
          <w:b/>
          <w:bCs/>
          <w:i/>
          <w:iCs/>
          <w:sz w:val="24"/>
          <w:szCs w:val="24"/>
        </w:rPr>
        <w:t xml:space="preserve">Scope, Revised by Measurement</w:t>
      </w:r>
    </w:p>
    <w:p>
      <w:pPr>
        <w:spacing w:after="0" w:before="0" w:line="480" w:lineRule="auto"/>
        <w:jc w:val="both"/>
      </w:pPr>
      <w:r>
        <w:rPr>
          <w:rFonts w:ascii="Times New Roman" w:cs="Times New Roman" w:eastAsia="Times New Roman" w:hAnsi="Times New Roman"/>
          <w:sz w:val="24"/>
          <w:szCs w:val="24"/>
        </w:rPr>
        <w:t xml:space="preserve">A pre-registered probe of the attributable illiquid tail (1,618 names) found that the dislocation transferred — larger declines and a stronger day-0 volume climax — but the reversal did not (+36 bp, not significant, against a Roll-friction bar near 100 bp). Transitory impact is therefore a liquid-market phenomenon, because the post-episode reversal is itself liquidity provision and is absent where arbitrage capital does not operate. The reversal claim is thus a liquid-universe claim by measurement, not by sample convenience.</w:t>
      </w:r>
    </w:p>
    <w:p>
      <w:pPr>
        <w:spacing w:after="120" w:before="240" w:line="480" w:lineRule="auto"/>
      </w:pPr>
      <w:r>
        <w:rPr>
          <w:rFonts w:ascii="Times New Roman" w:cs="Times New Roman" w:eastAsia="Times New Roman" w:hAnsi="Times New Roman"/>
          <w:b/>
          <w:bCs/>
          <w:sz w:val="24"/>
          <w:szCs w:val="24"/>
        </w:rPr>
        <w:t xml:space="preserve">METHODOLOGY</w:t>
      </w:r>
    </w:p>
    <w:p>
      <w:pPr>
        <w:spacing w:after="80" w:before="160" w:line="480" w:lineRule="auto"/>
      </w:pPr>
      <w:r>
        <w:rPr>
          <w:rFonts w:ascii="Times New Roman" w:cs="Times New Roman" w:eastAsia="Times New Roman" w:hAnsi="Times New Roman"/>
          <w:b/>
          <w:bCs/>
          <w:i/>
          <w:iCs/>
          <w:sz w:val="24"/>
          <w:szCs w:val="24"/>
        </w:rPr>
        <w:t xml:space="preserve">Flow Features and the Regime Model</w:t>
      </w:r>
    </w:p>
    <w:p>
      <w:pPr>
        <w:spacing w:after="0" w:before="0" w:line="480" w:lineRule="auto"/>
        <w:jc w:val="both"/>
      </w:pPr>
      <w:r>
        <w:rPr>
          <w:rFonts w:ascii="Times New Roman" w:cs="Times New Roman" w:eastAsia="Times New Roman" w:hAnsi="Times New Roman"/>
          <w:sz w:val="24"/>
          <w:szCs w:val="24"/>
        </w:rPr>
        <w:t xml:space="preserve">Ten within-day, cross-sectional features were computed per stock-day from the FII records — flow direction and magnitude scaled by trailing gross flow, participation breadth, entity concentration of selling and of buying, and persistence — each probit-ranked within the day (removing the market-wide flow level) and using strictly past information. May and June 2021 were masked as an embargo buffer around the train/test boundary.</w:t>
      </w:r>
    </w:p>
    <w:p>
      <w:pPr>
        <w:spacing w:after="0" w:before="0" w:line="480" w:lineRule="auto"/>
        <w:jc w:val="both"/>
      </w:pPr>
      <w:r>
        <w:rPr>
          <w:rFonts w:ascii="Times New Roman" w:cs="Times New Roman" w:eastAsia="Times New Roman" w:hAnsi="Times New Roman"/>
          <w:sz w:val="24"/>
          <w:szCs w:val="24"/>
        </w:rPr>
        <w:t xml:space="preserve">A hidden Markov model assumes an unobserved state sequence evolving as a first-order Markov chain, with the daily feature vector emitted conditionally on the state. For state j the emission is Gaussian with a diagonal covariance:</w:t>
      </w:r>
    </w:p>
    <w:p>
      <w:pPr>
        <w:tabs>
          <w:tab w:val="right" w:pos="9360"/>
        </w:tabs>
        <w:spacing w:after="60" w:before="60" w:line="480" w:lineRule="auto"/>
      </w:pPr>
      <w:r>
        <w:rPr>
          <w:rFonts w:ascii="Times New Roman" w:cs="Times New Roman" w:eastAsia="Times New Roman" w:hAnsi="Times New Roman"/>
          <w:i/>
          <w:iCs/>
          <w:sz w:val="24"/>
          <w:szCs w:val="24"/>
        </w:rPr>
        <w:t xml:space="preserve">     xₜ | Sₜ = j  ~  N(μⱼ, Σⱼ),   Σⱼ diagonal,</w:t>
      </w:r>
      <w:r>
        <w:rPr>
          <w:rFonts w:ascii="Times New Roman" w:cs="Times New Roman" w:eastAsia="Times New Roman" w:hAnsi="Times New Roman"/>
          <w:sz w:val="24"/>
          <w:szCs w:val="24"/>
        </w:rPr>
        <w:t xml:space="preserve">	(1)</w:t>
      </w:r>
    </w:p>
    <w:p>
      <w:pPr>
        <w:spacing w:after="0" w:before="0" w:line="480" w:lineRule="auto"/>
        <w:jc w:val="both"/>
      </w:pPr>
      <w:r>
        <w:rPr>
          <w:rFonts w:ascii="Times New Roman" w:cs="Times New Roman" w:eastAsia="Times New Roman" w:hAnsi="Times New Roman"/>
          <w:sz w:val="24"/>
          <w:szCs w:val="24"/>
        </w:rPr>
        <w:t xml:space="preserve">and the observation likelihood marginalises over all state paths via the forward recursion αₜ₊₁(j) = bⱼ(xₜ₊₁) Σᵢ αₜ(i) Aᵢⱼ, where A is the transition matrix and bⱼ the state-j density. Parameters were estimated by the Baum–Welch (EM) algorithm and the reported state sequence decoded by the Viterbi recursion.</w:t>
      </w:r>
    </w:p>
    <w:p>
      <w:pPr>
        <w:spacing w:after="0" w:before="0" w:line="480" w:lineRule="auto"/>
        <w:jc w:val="both"/>
      </w:pPr>
      <w:r>
        <w:rPr>
          <w:rFonts w:ascii="Times New Roman" w:cs="Times New Roman" w:eastAsia="Times New Roman" w:hAnsi="Times New Roman"/>
          <w:sz w:val="24"/>
          <w:szCs w:val="24"/>
        </w:rPr>
        <w:t xml:space="preserve">A three-state Gaussian HMM on the directional features produced a persistent SELL / NEUTRAL / BUY backbone (mean dwell 13–17 days). Concentration states were not natively recoverable by the HMM — the high-autocorrelation persistence feature dominates the likelihood — so concentration archetypes were defined by calibrated overlay rules on the backbone, as summarised in Table 1. The overlay thresholds were calibrated from the training era alone under a falsification-first protocol: a Gaussian-mixture rule failed its own pre-registered stability test and was discarded in favour of a quantile rule confirmed by three-way convergence.</w:t>
      </w:r>
    </w:p>
    <w:p>
      <w:pPr>
        <w:spacing w:after="60" w:before="160" w:line="240" w:lineRule="auto"/>
      </w:pPr>
      <w:r>
        <w:rPr>
          <w:rFonts w:ascii="Times New Roman" w:cs="Times New Roman" w:eastAsia="Times New Roman" w:hAnsi="Times New Roman"/>
          <w:i/>
          <w:iCs/>
          <w:sz w:val="24"/>
          <w:szCs w:val="24"/>
        </w:rPr>
        <w:t xml:space="preserve">Table 1. Flow Archetype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Archetype</w:t>
            </w:r>
          </w:p>
        </w:tc>
        <w:tc>
          <w:tcPr>
            <w:tcW w:type="dxa" w:w="676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Definition (overlay on the HMM directional backbone)</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Dispersed selling</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SELL backbone with high breadth and persistence but low selling concentration</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Concentrated selling</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SELL backbone with top-decile selling concentration</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Concentrated buying</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BUY backbone with top-decile buying concentration</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Baseline (two-sided)</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NEUTRAL backbone; the reference flow state</w:t>
            </w:r>
          </w:p>
        </w:tc>
      </w:tr>
    </w:tbl>
    <w:p>
      <w:pPr>
        <w:spacing w:after="160" w:before="40" w:line="240" w:lineRule="auto"/>
      </w:pPr>
      <w:r>
        <w:rPr>
          <w:rFonts w:ascii="Times New Roman" w:cs="Times New Roman" w:eastAsia="Times New Roman" w:hAnsi="Times New Roman"/>
          <w:i/>
          <w:iCs/>
          <w:sz w:val="20"/>
          <w:szCs w:val="20"/>
        </w:rPr>
        <w:t xml:space="preserve">Source. Authors' compilation. Thresholds were calibrated on the training era (ending April 2021) and frozen before validation.</w:t>
      </w:r>
    </w:p>
    <w:p>
      <w:pPr>
        <w:spacing w:after="80" w:before="160" w:line="480" w:lineRule="auto"/>
      </w:pPr>
      <w:r>
        <w:rPr>
          <w:rFonts w:ascii="Times New Roman" w:cs="Times New Roman" w:eastAsia="Times New Roman" w:hAnsi="Times New Roman"/>
          <w:b/>
          <w:bCs/>
          <w:i/>
          <w:iCs/>
          <w:sz w:val="24"/>
          <w:szCs w:val="24"/>
        </w:rPr>
        <w:t xml:space="preserve">Empirical Strategy</w:t>
      </w:r>
    </w:p>
    <w:p>
      <w:pPr>
        <w:spacing w:after="0" w:before="0" w:line="480" w:lineRule="auto"/>
        <w:jc w:val="both"/>
      </w:pPr>
      <w:r>
        <w:rPr>
          <w:rFonts w:ascii="Times New Roman" w:cs="Times New Roman" w:eastAsia="Times New Roman" w:hAnsi="Times New Roman"/>
          <w:sz w:val="24"/>
          <w:szCs w:val="24"/>
        </w:rPr>
        <w:t xml:space="preserve">The unit of analysis was the archetype episode — a maximal run of consecutive stock-days in one archetype. Market-adjusted, corporate-action-adjusted, clipped cumulative abnormal returns (CARs) were measured from episode START (drift while flow was active) and from episode END (the reversal test: once flow has stopped, any systematic post-END return reflects the relaxation of price pressure rather than continued flow). Because test-era small-capitalisation drift (+52 bp per 20 days across all labelled stock-days) makes raw CARs uninterpretable, all headline estimates are baseline-relative.</w:t>
      </w:r>
    </w:p>
    <w:p>
      <w:pPr>
        <w:spacing w:after="0" w:before="0" w:line="480" w:lineRule="auto"/>
        <w:jc w:val="both"/>
      </w:pPr>
      <w:r>
        <w:rPr>
          <w:rFonts w:ascii="Times New Roman" w:cs="Times New Roman" w:eastAsia="Times New Roman" w:hAnsi="Times New Roman"/>
          <w:sz w:val="24"/>
          <w:szCs w:val="24"/>
        </w:rPr>
        <w:t xml:space="preserve">The regression framework was a panel model with stock and date fixed effects and errors clustered by stock and by calendar month:</w:t>
      </w:r>
    </w:p>
    <w:p>
      <w:pPr>
        <w:tabs>
          <w:tab w:val="right" w:pos="9360"/>
        </w:tabs>
        <w:spacing w:after="60" w:before="60" w:line="480" w:lineRule="auto"/>
      </w:pPr>
      <w:r>
        <w:rPr>
          <w:rFonts w:ascii="Times New Roman" w:cs="Times New Roman" w:eastAsia="Times New Roman" w:hAnsi="Times New Roman"/>
          <w:i/>
          <w:iCs/>
          <w:sz w:val="24"/>
          <w:szCs w:val="24"/>
        </w:rPr>
        <w:t xml:space="preserve">     yᵢₜ = αᵢ + δₜ + Σₐ βₐ Dᵃᵢₜ + γ′ zᵢₜ + εᵢₜ,</w:t>
      </w:r>
      <w:r>
        <w:rPr>
          <w:rFonts w:ascii="Times New Roman" w:cs="Times New Roman" w:eastAsia="Times New Roman" w:hAnsi="Times New Roman"/>
          <w:sz w:val="24"/>
          <w:szCs w:val="24"/>
        </w:rPr>
        <w:t xml:space="preserve">	(2)</w:t>
      </w:r>
    </w:p>
    <w:p>
      <w:pPr>
        <w:spacing w:after="0" w:before="0" w:line="480" w:lineRule="auto"/>
        <w:jc w:val="both"/>
      </w:pPr>
      <w:r>
        <w:rPr>
          <w:rFonts w:ascii="Times New Roman" w:cs="Times New Roman" w:eastAsia="Times New Roman" w:hAnsi="Times New Roman"/>
          <w:sz w:val="24"/>
          <w:szCs w:val="24"/>
        </w:rPr>
        <w:t xml:space="preserve">where yᵢₜ is the forward 20-day abnormal return (bp) from stock-day t, αᵢ and δₜ are stock and date fixed effects (the latter absorbing all market-wide drift), Dᵃ are archetype-END event dummies, and z is a vector of controls (rolling beta, momentum, Amihud illiquidity, log turnover, volatility, relative volume, log price, and log episode length). A conservative specification added the pre-episode 20-day return as a deliberate bad control that mechanically absorbs any generic loser-reversal channel. Because archetype labels are estimated regressors, the coefficients are attenuated toward zero; all claims are predictive conditional on controls, never causal.</w:t>
      </w:r>
    </w:p>
    <w:p>
      <w:pPr>
        <w:spacing w:after="80" w:before="160" w:line="480" w:lineRule="auto"/>
      </w:pPr>
      <w:r>
        <w:rPr>
          <w:rFonts w:ascii="Times New Roman" w:cs="Times New Roman" w:eastAsia="Times New Roman" w:hAnsi="Times New Roman"/>
          <w:b/>
          <w:bCs/>
          <w:i/>
          <w:iCs/>
          <w:sz w:val="24"/>
          <w:szCs w:val="24"/>
        </w:rPr>
        <w:t xml:space="preserve">Independent Validation: Probability of Informed Trading</w:t>
      </w:r>
    </w:p>
    <w:p>
      <w:pPr>
        <w:spacing w:after="0" w:before="0" w:line="480" w:lineRule="auto"/>
        <w:jc w:val="both"/>
      </w:pPr>
      <w:r>
        <w:rPr>
          <w:rFonts w:ascii="Times New Roman" w:cs="Times New Roman" w:eastAsia="Times New Roman" w:hAnsi="Times New Roman"/>
          <w:sz w:val="24"/>
          <w:szCs w:val="24"/>
        </w:rPr>
        <w:t xml:space="preserve">As an external check blind to returns, an Easley–O'Hara PIN was estimated by maximum likelihood per stock-year from FII buy and sell counts, modelled as a mixture over no-news, bad-news, and good-news states with Poisson arrivals:</w:t>
      </w:r>
    </w:p>
    <w:p>
      <w:pPr>
        <w:tabs>
          <w:tab w:val="right" w:pos="9360"/>
        </w:tabs>
        <w:spacing w:after="60" w:before="60" w:line="480" w:lineRule="auto"/>
      </w:pPr>
      <w:r>
        <w:rPr>
          <w:rFonts w:ascii="Times New Roman" w:cs="Times New Roman" w:eastAsia="Times New Roman" w:hAnsi="Times New Roman"/>
          <w:i/>
          <w:iCs/>
          <w:sz w:val="24"/>
          <w:szCs w:val="24"/>
        </w:rPr>
        <w:t xml:space="preserve">     PIN = αμ / (αμ + εᵇ + εₛ),</w:t>
      </w:r>
      <w:r>
        <w:rPr>
          <w:rFonts w:ascii="Times New Roman" w:cs="Times New Roman" w:eastAsia="Times New Roman" w:hAnsi="Times New Roman"/>
          <w:sz w:val="24"/>
          <w:szCs w:val="24"/>
        </w:rPr>
        <w:t xml:space="preserve">	(3)</w:t>
      </w:r>
    </w:p>
    <w:p>
      <w:pPr>
        <w:spacing w:after="0" w:before="0" w:line="480" w:lineRule="auto"/>
        <w:jc w:val="both"/>
      </w:pPr>
      <w:r>
        <w:rPr>
          <w:rFonts w:ascii="Times New Roman" w:cs="Times New Roman" w:eastAsia="Times New Roman" w:hAnsi="Times New Roman"/>
          <w:sz w:val="24"/>
          <w:szCs w:val="24"/>
        </w:rPr>
        <w:t xml:space="preserve">where α is the probability of an information event, μ the informed arrival rate, and εᵇ, εₛ the uninformed buy and sell rates. Because its inputs share nothing with the return tests, PIN provides an independent construct against which the transitory/permanent assignment can be checked.</w:t>
      </w:r>
    </w:p>
    <w:p>
      <w:pPr>
        <w:spacing w:after="120" w:before="240" w:line="480" w:lineRule="auto"/>
      </w:pPr>
      <w:r>
        <w:rPr>
          <w:rFonts w:ascii="Times New Roman" w:cs="Times New Roman" w:eastAsia="Times New Roman" w:hAnsi="Times New Roman"/>
          <w:b/>
          <w:bCs/>
          <w:sz w:val="24"/>
          <w:szCs w:val="24"/>
        </w:rPr>
        <w:t xml:space="preserve">RESULTS AND DISCUSSION</w:t>
      </w:r>
    </w:p>
    <w:p>
      <w:pPr>
        <w:spacing w:after="80" w:before="160" w:line="480" w:lineRule="auto"/>
      </w:pPr>
      <w:r>
        <w:rPr>
          <w:rFonts w:ascii="Times New Roman" w:cs="Times New Roman" w:eastAsia="Times New Roman" w:hAnsi="Times New Roman"/>
          <w:b/>
          <w:bCs/>
          <w:i/>
          <w:iCs/>
          <w:sz w:val="24"/>
          <w:szCs w:val="24"/>
        </w:rPr>
        <w:t xml:space="preserve">The Transitory–Permanent Decomposition</w:t>
      </w:r>
    </w:p>
    <w:p>
      <w:pPr>
        <w:spacing w:after="0" w:before="0" w:line="480" w:lineRule="auto"/>
        <w:jc w:val="both"/>
      </w:pPr>
      <w:r>
        <w:rPr>
          <w:rFonts w:ascii="Times New Roman" w:cs="Times New Roman" w:eastAsia="Times New Roman" w:hAnsi="Times New Roman"/>
          <w:sz w:val="24"/>
          <w:szCs w:val="24"/>
        </w:rPr>
        <w:t xml:space="preserve">Table 2 reports the central result. Concentrated selling reverted; dispersed selling did not. The dispersed-selling null is the economically decisive cell: it shares the SELL direction and the flow-magnitude range with concentrated selling and differs essentially only in participation structure, making it the mechanism-relevant control. The generic loser-reversal objection is closed within the same specification — the pre-episode return enters significantly, yet the concentrated-selling coefficient barely moves when it is added, indicating that the archetype carries reversal information beyond the fact that the stock had just fallen.</w:t>
      </w:r>
    </w:p>
    <w:p>
      <w:pPr>
        <w:spacing w:after="60" w:before="160" w:line="240" w:lineRule="auto"/>
      </w:pPr>
      <w:r>
        <w:rPr>
          <w:rFonts w:ascii="Times New Roman" w:cs="Times New Roman" w:eastAsia="Times New Roman" w:hAnsi="Times New Roman"/>
          <w:i/>
          <w:iCs/>
          <w:sz w:val="24"/>
          <w:szCs w:val="24"/>
        </w:rPr>
        <w:t xml:space="preserve">Table 2. Post-Episode 20-Day Abnormal Return by Archetype (Basis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bCs/>
                <w:sz w:val="24"/>
                <w:szCs w:val="24"/>
              </w:rPr>
              <w:t xml:space="preserve">Archetype (episode end)</w:t>
            </w:r>
          </w:p>
        </w:tc>
        <w:tc>
          <w:tcPr>
            <w:tcW w:type="dxa" w:w="25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4"/>
                <w:szCs w:val="24"/>
              </w:rPr>
              <w:t xml:space="preserve">Train era</w:t>
            </w:r>
          </w:p>
        </w:tc>
        <w:tc>
          <w:tcPr>
            <w:tcW w:type="dxa" w:w="25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4"/>
                <w:szCs w:val="24"/>
              </w:rPr>
              <w:t xml:space="preserve">Test era (out of sample)</w:t>
            </w:r>
          </w:p>
        </w:tc>
      </w:tr>
      <w:tr>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Concentrated selling</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+65.4***</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+48.6***</w:t>
            </w:r>
          </w:p>
        </w:tc>
      </w:tr>
      <w:tr>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Concentrated buying</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−87.9***</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−47.6***</w:t>
            </w:r>
          </w:p>
        </w:tc>
      </w:tr>
      <w:tr>
        <w:tc>
          <w:tcPr>
            <w:tcW w:type="dxa" w:w="4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4"/>
                <w:szCs w:val="24"/>
              </w:rPr>
              <w:t xml:space="preserve">Dispersed selling</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≈0 (n.s.)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sz w:val="24"/>
                <w:szCs w:val="24"/>
              </w:rPr>
              <w:t xml:space="preserve">≈0 (n.s.)</w:t>
            </w:r>
          </w:p>
        </w:tc>
      </w:tr>
    </w:tbl>
    <w:p>
      <w:pPr>
        <w:spacing w:after="160" w:before="40" w:line="240" w:lineRule="auto"/>
      </w:pPr>
      <w:r>
        <w:rPr>
          <w:rFonts w:ascii="Times New Roman" w:cs="Times New Roman" w:eastAsia="Times New Roman" w:hAnsi="Times New Roman"/>
          <w:i/>
          <w:iCs/>
          <w:sz w:val="20"/>
          <w:szCs w:val="20"/>
        </w:rPr>
        <w:t xml:space="preserve">Source. Authors' estimates from the panel regression in Equation (2), full specification. *** p &lt; 0.01; n.s. = not significant. Standard errors clustered by stock and by calendar month.</w:t>
      </w:r>
    </w:p>
    <w:p>
      <w:pPr>
        <w:spacing w:after="80" w:before="160" w:line="480" w:lineRule="auto"/>
      </w:pPr>
      <w:r>
        <w:rPr>
          <w:rFonts w:ascii="Times New Roman" w:cs="Times New Roman" w:eastAsia="Times New Roman" w:hAnsi="Times New Roman"/>
          <w:b/>
          <w:bCs/>
          <w:i/>
          <w:iCs/>
          <w:sz w:val="24"/>
          <w:szCs w:val="24"/>
        </w:rPr>
        <w:t xml:space="preserve">Mechanism: A Liquidity Shock from Internal Data</w:t>
      </w:r>
    </w:p>
    <w:p>
      <w:pPr>
        <w:spacing w:after="0" w:before="0" w:line="480" w:lineRule="auto"/>
        <w:jc w:val="both"/>
      </w:pPr>
      <w:r>
        <w:rPr>
          <w:rFonts w:ascii="Times New Roman" w:cs="Times New Roman" w:eastAsia="Times New Roman" w:hAnsi="Times New Roman"/>
          <w:sz w:val="24"/>
          <w:szCs w:val="24"/>
        </w:rPr>
        <w:t xml:space="preserve">The full arc of a concentrated-selling episode read as textbook price pressure: a pre-episode decline of roughly −270 bp, a climax with volume at 1.12–1.13 times the stock's own trailing 20-day average, and then — once the concentrated flow stopped — a +80 bp (train) / +32 bp (test) recovery retracing about a third of the episode decline. Concentrated buying mirrored the pattern on the buy side. Dispersed selling showed the opposite volume signature, with below-baseline volume throughout — quiet distribution that the market absorbed without a liquidity premium and without any subsequent recovery.</w:t>
      </w:r>
    </w:p>
    <w:p>
      <w:pPr>
        <w:spacing w:after="80" w:before="160" w:line="480" w:lineRule="auto"/>
      </w:pPr>
      <w:r>
        <w:rPr>
          <w:rFonts w:ascii="Times New Roman" w:cs="Times New Roman" w:eastAsia="Times New Roman" w:hAnsi="Times New Roman"/>
          <w:b/>
          <w:bCs/>
          <w:i/>
          <w:iCs/>
          <w:sz w:val="24"/>
          <w:szCs w:val="24"/>
        </w:rPr>
        <w:t xml:space="preserve">Robustness</w:t>
      </w:r>
    </w:p>
    <w:p>
      <w:pPr>
        <w:spacing w:after="0" w:before="0" w:line="480" w:lineRule="auto"/>
        <w:jc w:val="both"/>
      </w:pPr>
      <w:r>
        <w:rPr>
          <w:rFonts w:ascii="Times New Roman" w:cs="Times New Roman" w:eastAsia="Times New Roman" w:hAnsi="Times New Roman"/>
          <w:sz w:val="24"/>
          <w:szCs w:val="24"/>
        </w:rPr>
        <w:t xml:space="preserve">The reversal survived an extensive battery. Bounce-free windows retained the effect (a bid-ask bounce component of only 11%–24%); restricting to non-overlapping episodes strengthened it (+76 / +108 bp); the CAR built and persisted across 10-, 20-, 30-, and 60-day horizons, whereas a momentum artifact would decay. Excluding all episodes within seven calendar days of 150 index-review dates left the effect intact, ruling out passive-rebalancing mechanics. A continuous dose–response specification without thresholds produced right-signed effects in every cell. Critically, adding a per-stock flow-surprise innovation (an AR(5) residual in scaled net flow) left the concentrated-selling coefficient unchanged to the decimal, demonstrating that concentration is not merely disguised surprise magnitude. A model-class ablation confirmed that a persistence rule backbone without any HMM reproduced Table 2 within band, establishing that the contribution is the participation-composition measure rather than the model class; the HMM was retained as an episode-smoothing device.</w:t>
      </w:r>
    </w:p>
    <w:p>
      <w:pPr>
        <w:spacing w:after="80" w:before="160" w:line="480" w:lineRule="auto"/>
      </w:pPr>
      <w:r>
        <w:rPr>
          <w:rFonts w:ascii="Times New Roman" w:cs="Times New Roman" w:eastAsia="Times New Roman" w:hAnsi="Times New Roman"/>
          <w:b/>
          <w:bCs/>
          <w:i/>
          <w:iCs/>
          <w:sz w:val="24"/>
          <w:szCs w:val="24"/>
        </w:rPr>
        <w:t xml:space="preserve">External Validation and a Second Regularity</w:t>
      </w:r>
    </w:p>
    <w:p>
      <w:pPr>
        <w:spacing w:after="0" w:before="0" w:line="480" w:lineRule="auto"/>
        <w:jc w:val="both"/>
      </w:pPr>
      <w:r>
        <w:rPr>
          <w:rFonts w:ascii="Times New Roman" w:cs="Times New Roman" w:eastAsia="Times New Roman" w:hAnsi="Times New Roman"/>
          <w:sz w:val="24"/>
          <w:szCs w:val="24"/>
        </w:rPr>
        <w:t xml:space="preserve">The return-blind PIN estimator endorsed the reading. A stock-year's PIN loaded on its dispersed-selling share at +0.231 (train) / +0.149 (test), roughly three times its loading on concentrated-selling share (+0.077 / +0.065): the dispersed archetype carried the informed-trading signature and the concentrated one much less so — an independent construct arriving at the same transitory/permanent assignment. Separately, the unexpected component of FII flow reverted out of sample (forward information coefficient −0.023 train / −0.017 test), a distinct, era-stable transitory channel reported as a decomposition finding rather than a tradable signal.</w:t>
      </w:r>
    </w:p>
    <w:p>
      <w:pPr>
        <w:spacing w:after="80" w:before="160" w:line="480" w:lineRule="auto"/>
      </w:pPr>
      <w:r>
        <w:rPr>
          <w:rFonts w:ascii="Times New Roman" w:cs="Times New Roman" w:eastAsia="Times New Roman" w:hAnsi="Times New Roman"/>
          <w:b/>
          <w:bCs/>
          <w:i/>
          <w:iCs/>
          <w:sz w:val="24"/>
          <w:szCs w:val="24"/>
        </w:rPr>
        <w:t xml:space="preserve">Economic Significance</w:t>
      </w:r>
    </w:p>
    <w:p>
      <w:pPr>
        <w:spacing w:after="0" w:before="0" w:line="480" w:lineRule="auto"/>
        <w:jc w:val="both"/>
      </w:pPr>
      <w:r>
        <w:rPr>
          <w:rFonts w:ascii="Times New Roman" w:cs="Times New Roman" w:eastAsia="Times New Roman" w:hAnsi="Times New Roman"/>
          <w:sz w:val="24"/>
          <w:szCs w:val="24"/>
        </w:rPr>
        <w:t xml:space="preserve">A gated long–short backtesting engine confirmed that the model's information appears at the portfolio level exactly where the mechanism predicts — excluding concentrated-regime days improved a flow-following book's gross Sharpe ratio in both eras. However, nothing survived realistic transaction costs, with breakeven costs of roughly 2–8 bp one-way against a 15 bp assumption, because the reversal is about 50 bp over 20 days on only 7% of stock-days. This is consistent with a limits-to-arbitrage reading: the regularity can persist precisely because harvesting it costs more than it pays net. The practical magnitude is best stated in execution terms rather than as a trading claim, and is developed in the following section.</w:t>
      </w:r>
    </w:p>
    <w:p>
      <w:pPr>
        <w:spacing w:after="120" w:before="240" w:line="480" w:lineRule="auto"/>
      </w:pPr>
      <w:r>
        <w:rPr>
          <w:rFonts w:ascii="Times New Roman" w:cs="Times New Roman" w:eastAsia="Times New Roman" w:hAnsi="Times New Roman"/>
          <w:b/>
          <w:bCs/>
          <w:sz w:val="24"/>
          <w:szCs w:val="24"/>
        </w:rPr>
        <w:t xml:space="preserve">RESEARCH AND MANAGERIAL IMPLICATIONS</w:t>
      </w:r>
    </w:p>
    <w:p>
      <w:pPr>
        <w:spacing w:after="0" w:before="0" w:line="480" w:lineRule="auto"/>
        <w:jc w:val="both"/>
      </w:pPr>
      <w:r>
        <w:rPr>
          <w:rFonts w:ascii="Times New Roman" w:cs="Times New Roman" w:eastAsia="Times New Roman" w:hAnsi="Times New Roman"/>
          <w:sz w:val="24"/>
          <w:szCs w:val="24"/>
        </w:rPr>
        <w:t xml:space="preserve">For researchers, the study reframes institutional price impact around the composition of participation rather than its magnitude, and supplies a reproducible, pre-registered protocol for validating that an unsupervised regime taxonomy corresponds to genuine economic structure. The transitory/permanent split, cross-validated by a return-blind informed-trading estimator, offers a template for distinguishing liquidity-driven from information-driven flow in other markets and investor classes.</w:t>
      </w:r>
    </w:p>
    <w:p>
      <w:pPr>
        <w:spacing w:after="0" w:before="0" w:line="480" w:lineRule="auto"/>
        <w:jc w:val="both"/>
      </w:pPr>
      <w:r>
        <w:rPr>
          <w:rFonts w:ascii="Times New Roman" w:cs="Times New Roman" w:eastAsia="Times New Roman" w:hAnsi="Times New Roman"/>
          <w:sz w:val="24"/>
          <w:szCs w:val="24"/>
        </w:rPr>
        <w:t xml:space="preserve">For practitioners, the composition measure is computable nightly from depository data at zero incremental cost to an agent already committed to trade. In execution terms, a desk selling INR 100 crore of a name currently inside a concentrated-selling episode forfeits approximately 37–49 bp — about INR 37–49 lakh — by trading through the episode rather than after its end. The measure therefore has direct applications in execution-quality assessment, transaction-cost analysis, liquidity monitoring, and market surveillance, where distinguishing concentrated liquidity demand from dispersed informed selling is operationally valuable.</w:t>
      </w:r>
    </w:p>
    <w:p>
      <w:pPr>
        <w:spacing w:after="120" w:before="240" w:line="480" w:lineRule="auto"/>
      </w:pPr>
      <w:r>
        <w:rPr>
          <w:rFonts w:ascii="Times New Roman" w:cs="Times New Roman" w:eastAsia="Times New Roman" w:hAnsi="Times New Roman"/>
          <w:b/>
          <w:bCs/>
          <w:sz w:val="24"/>
          <w:szCs w:val="24"/>
        </w:rPr>
        <w:t xml:space="preserve">LIMITATIONS AND DIRECTIONS FOR FUTURE RESEARCH</w:t>
      </w:r>
    </w:p>
    <w:p>
      <w:pPr>
        <w:spacing w:after="0" w:before="0" w:line="480" w:lineRule="auto"/>
        <w:jc w:val="both"/>
      </w:pPr>
      <w:r>
        <w:rPr>
          <w:rFonts w:ascii="Times New Roman" w:cs="Times New Roman" w:eastAsia="Times New Roman" w:hAnsi="Times New Roman"/>
          <w:sz w:val="24"/>
          <w:szCs w:val="24"/>
        </w:rPr>
        <w:t xml:space="preserve">Several boundaries are stated explicitly. The reversal is a liquid-universe phenomenon by measurement. Entity identity is within-month only, precluding cross-month FII tracking, and entity-identifier missingness of 30–40% in 2024–2025 confounds late-sample concentration measurement. The PIN estimate is an FII-slice measure rather than the classical all-market version. All claims are predictive conditional on controls, never causal, and the information interpretation of the permanent side is supported but not proven, since dispersed informed selling and non-informational permanent-impact channels are observationally equivalent in these data. The most promising direction for future work is to replace the calibrated concentration overlays with a structured latent-variable model — for example a factorial hidden Markov model (Ghahramani &amp; Jordan, 1997) — that gives the concentration axis its own latent channel, allowing the archetypes to be learned end-to-end rather than thresholded, and to test whether a causal, filtered nowcast of the current regime adds decision value over simple age-based heuristics.</w:t>
      </w:r>
    </w:p>
    <w:p>
      <w:pPr>
        <w:spacing w:after="120" w:before="240" w:line="480" w:lineRule="auto"/>
      </w:pPr>
      <w:r>
        <w:rPr>
          <w:rFonts w:ascii="Times New Roman" w:cs="Times New Roman" w:eastAsia="Times New Roman" w:hAnsi="Times New Roman"/>
          <w:b/>
          <w:bCs/>
          <w:sz w:val="24"/>
          <w:szCs w:val="24"/>
        </w:rPr>
        <w:t xml:space="preserve">CONCLUSION</w:t>
      </w:r>
    </w:p>
    <w:p>
      <w:pPr>
        <w:spacing w:after="0" w:before="0" w:line="480" w:lineRule="auto"/>
        <w:jc w:val="both"/>
      </w:pPr>
      <w:r>
        <w:rPr>
          <w:rFonts w:ascii="Times New Roman" w:cs="Times New Roman" w:eastAsia="Times New Roman" w:hAnsi="Times New Roman"/>
          <w:sz w:val="24"/>
          <w:szCs w:val="24"/>
        </w:rPr>
        <w:t xml:space="preserve">Two regularities emerged from fourteen years of foreign institutional flow in Indian equities. First, the concentration of participation — not the magnitude of flow — separated transitory from permanent price impact: concentrated flow was liquidity demand that reverted, while dispersed flow was information that did not. Second, the surprise component of flow reverted out of sample. Both were discovered through an unsupervised taxonomy validated against a pre-registered, gate-driven battery that refuted the authors' own starting hypothesis. The concentrated “shark” was demanding liquidity; the dispersed “hostages,” collectively, knew something.</w:t>
      </w:r>
    </w:p>
    <w:p>
      <w:pPr>
        <w:spacing w:after="120" w:before="240" w:line="480" w:lineRule="auto"/>
      </w:pPr>
      <w:r>
        <w:rPr>
          <w:rFonts w:ascii="Times New Roman" w:cs="Times New Roman" w:eastAsia="Times New Roman" w:hAnsi="Times New Roman"/>
          <w:b/>
          <w:bCs/>
          <w:sz w:val="24"/>
          <w:szCs w:val="24"/>
        </w:rPr>
        <w:t xml:space="preserve">AUTHORS' CONTRIBUTION</w:t>
      </w:r>
    </w:p>
    <w:p>
      <w:pPr>
        <w:spacing w:after="0" w:before="0" w:line="480" w:lineRule="auto"/>
        <w:jc w:val="both"/>
      </w:pPr>
      <w:r>
        <w:rPr>
          <w:rFonts w:ascii="Times New Roman" w:cs="Times New Roman" w:eastAsia="Times New Roman" w:hAnsi="Times New Roman"/>
          <w:sz w:val="24"/>
          <w:szCs w:val="24"/>
        </w:rPr>
        <w:t xml:space="preserve">Divyansh Singh conceived the research question, assembled and cleaned the data, designed and implemented the regime model and the validation battery, conducted all analyses, and wrote the manuscript.</w:t>
      </w:r>
    </w:p>
    <w:p>
      <w:pPr>
        <w:spacing w:after="120" w:before="240" w:line="480" w:lineRule="auto"/>
      </w:pPr>
      <w:r>
        <w:rPr>
          <w:rFonts w:ascii="Times New Roman" w:cs="Times New Roman" w:eastAsia="Times New Roman" w:hAnsi="Times New Roman"/>
          <w:b/>
          <w:bCs/>
          <w:sz w:val="24"/>
          <w:szCs w:val="24"/>
        </w:rPr>
        <w:t xml:space="preserve">CONFLICT OF INTEREST</w:t>
      </w:r>
    </w:p>
    <w:p>
      <w:pPr>
        <w:spacing w:after="0" w:before="0" w:line="480" w:lineRule="auto"/>
        <w:jc w:val="both"/>
      </w:pPr>
      <w:r>
        <w:rPr>
          <w:rFonts w:ascii="Times New Roman" w:cs="Times New Roman" w:eastAsia="Times New Roman" w:hAnsi="Times New Roman"/>
          <w:sz w:val="24"/>
          <w:szCs w:val="24"/>
        </w:rPr>
        <w:t xml:space="preserve">The author declares that there is no conflict of interest relevant to this study.</w:t>
      </w:r>
    </w:p>
    <w:p>
      <w:pPr>
        <w:spacing w:after="120" w:before="240" w:line="480" w:lineRule="auto"/>
      </w:pPr>
      <w:r>
        <w:rPr>
          <w:rFonts w:ascii="Times New Roman" w:cs="Times New Roman" w:eastAsia="Times New Roman" w:hAnsi="Times New Roman"/>
          <w:b/>
          <w:bCs/>
          <w:sz w:val="24"/>
          <w:szCs w:val="24"/>
        </w:rPr>
        <w:t xml:space="preserve">FUNDING ACKNOWLEDGEMENT</w:t>
      </w:r>
    </w:p>
    <w:p>
      <w:pPr>
        <w:spacing w:after="0" w:before="0" w:line="480" w:lineRule="auto"/>
        <w:jc w:val="both"/>
      </w:pPr>
      <w:r>
        <w:rPr>
          <w:rFonts w:ascii="Times New Roman" w:cs="Times New Roman" w:eastAsia="Times New Roman" w:hAnsi="Times New Roman"/>
          <w:sz w:val="24"/>
          <w:szCs w:val="24"/>
        </w:rPr>
        <w:t xml:space="preserve">The author received no financial support for the research, authorship, or publication of this article.</w:t>
      </w:r>
    </w:p>
    <w:p>
      <w:pPr>
        <w:spacing w:after="120" w:before="240" w:line="480" w:lineRule="auto"/>
      </w:pPr>
      <w:r>
        <w:rPr>
          <w:rFonts w:ascii="Times New Roman" w:cs="Times New Roman" w:eastAsia="Times New Roman" w:hAnsi="Times New Roman"/>
          <w:b/>
          <w:bCs/>
          <w:sz w:val="24"/>
          <w:szCs w:val="24"/>
        </w:rPr>
        <w:t xml:space="preserve">REFERENCES</w:t>
      </w:r>
    </w:p>
    <w:p>
      <w:pPr>
        <w:spacing w:after="40" w:line="480" w:lineRule="auto"/>
        <w:ind w:left="720" w:hanging="720"/>
        <w:jc w:val="left"/>
      </w:pPr>
      <w:r>
        <w:rPr>
          <w:rFonts w:ascii="Times New Roman" w:cs="Times New Roman" w:eastAsia="Times New Roman" w:hAnsi="Times New Roman"/>
          <w:sz w:val="24"/>
          <w:szCs w:val="24"/>
        </w:rPr>
        <w:t xml:space="preserve">Bekaert, G., Harvey, C. R., &amp; Lumsdaine, R. L. (2002). The dynamics of emerging market equity flows. Journal of International Money and Finance, 21(3), 295–350. https://doi.org/10.1016/S0261-5606(02)00001-3</w:t>
      </w:r>
    </w:p>
    <w:p>
      <w:pPr>
        <w:spacing w:after="40" w:line="480" w:lineRule="auto"/>
        <w:ind w:left="720" w:hanging="720"/>
        <w:jc w:val="left"/>
      </w:pPr>
      <w:r>
        <w:rPr>
          <w:rFonts w:ascii="Times New Roman" w:cs="Times New Roman" w:eastAsia="Times New Roman" w:hAnsi="Times New Roman"/>
          <w:sz w:val="24"/>
          <w:szCs w:val="24"/>
        </w:rPr>
        <w:t xml:space="preserve">Campbell, J. Y., Grossman, S. J., &amp; Wang, J. (1993). Trading volume and serial correlation in stock returns. The Quarterly Journal of Economics, 108(4), 905–939. https://doi.org/10.2307/2118454</w:t>
      </w:r>
    </w:p>
    <w:p>
      <w:pPr>
        <w:spacing w:after="40" w:line="480" w:lineRule="auto"/>
        <w:ind w:left="720" w:hanging="720"/>
        <w:jc w:val="left"/>
      </w:pPr>
      <w:r>
        <w:rPr>
          <w:rFonts w:ascii="Times New Roman" w:cs="Times New Roman" w:eastAsia="Times New Roman" w:hAnsi="Times New Roman"/>
          <w:sz w:val="24"/>
          <w:szCs w:val="24"/>
        </w:rPr>
        <w:t xml:space="preserve">Coval, J., &amp; Stafford, E. (2007). Asset fire sales (and purchases) in equity markets. Journal of Financial Economics, 86(2), 479–512. https://doi.org/10.1016/j.jfineco.2006.09.007</w:t>
      </w:r>
    </w:p>
    <w:p>
      <w:pPr>
        <w:spacing w:after="40" w:line="480" w:lineRule="auto"/>
        <w:ind w:left="720" w:hanging="720"/>
        <w:jc w:val="left"/>
      </w:pPr>
      <w:r>
        <w:rPr>
          <w:rFonts w:ascii="Times New Roman" w:cs="Times New Roman" w:eastAsia="Times New Roman" w:hAnsi="Times New Roman"/>
          <w:sz w:val="24"/>
          <w:szCs w:val="24"/>
        </w:rPr>
        <w:t xml:space="preserve">Easley, D., Kiefer, N. M., O'Hara, M., &amp; Paperman, J. B. (1996). Liquidity, information, and infrequently traded stocks. The Journal of Finance, 51(4), 1405–1436. https://doi.org/10.1111/j.1540-6261.1996.tb04074.x</w:t>
      </w:r>
    </w:p>
    <w:p>
      <w:pPr>
        <w:spacing w:after="40" w:line="480" w:lineRule="auto"/>
        <w:ind w:left="720" w:hanging="720"/>
        <w:jc w:val="left"/>
      </w:pPr>
      <w:r>
        <w:rPr>
          <w:rFonts w:ascii="Times New Roman" w:cs="Times New Roman" w:eastAsia="Times New Roman" w:hAnsi="Times New Roman"/>
          <w:sz w:val="24"/>
          <w:szCs w:val="24"/>
        </w:rPr>
        <w:t xml:space="preserve">Froot, K. A., O'Connell, P. G. J., &amp; Seasholes, M. S. (2001). The portfolio flows of international investors. Journal of Financial Economics, 59(2), 151–193. https://doi.org/10.1016/S0304-405X(00)00084-2</w:t>
      </w:r>
    </w:p>
    <w:p>
      <w:pPr>
        <w:spacing w:after="40" w:line="480" w:lineRule="auto"/>
        <w:ind w:left="720" w:hanging="720"/>
        <w:jc w:val="left"/>
      </w:pPr>
      <w:r>
        <w:rPr>
          <w:rFonts w:ascii="Times New Roman" w:cs="Times New Roman" w:eastAsia="Times New Roman" w:hAnsi="Times New Roman"/>
          <w:sz w:val="24"/>
          <w:szCs w:val="24"/>
        </w:rPr>
        <w:t xml:space="preserve">Ghahramani, Z., &amp; Jordan, M. I. (1997). Factorial hidden Markov models. Machine Learning, 29(2–3), 245–273. https://doi.org/10.1023/A:1007425814087</w:t>
      </w:r>
    </w:p>
    <w:p>
      <w:pPr>
        <w:spacing w:after="40" w:line="480" w:lineRule="auto"/>
        <w:ind w:left="720" w:hanging="720"/>
        <w:jc w:val="left"/>
      </w:pPr>
      <w:r>
        <w:rPr>
          <w:rFonts w:ascii="Times New Roman" w:cs="Times New Roman" w:eastAsia="Times New Roman" w:hAnsi="Times New Roman"/>
          <w:sz w:val="24"/>
          <w:szCs w:val="24"/>
        </w:rPr>
        <w:t xml:space="preserve">Kyle, A. S. (1985). Continuous auctions and insider trading. Econometrica, 53(6), 1315–1335. https://doi.org/10.2307/1913210</w:t>
      </w:r>
    </w:p>
    <w:p>
      <w:pPr>
        <w:spacing w:after="40" w:line="480" w:lineRule="auto"/>
        <w:ind w:left="720" w:hanging="720"/>
        <w:jc w:val="left"/>
      </w:pPr>
      <w:r>
        <w:rPr>
          <w:rFonts w:ascii="Times New Roman" w:cs="Times New Roman" w:eastAsia="Times New Roman" w:hAnsi="Times New Roman"/>
          <w:sz w:val="24"/>
          <w:szCs w:val="24"/>
        </w:rPr>
        <w:t xml:space="preserve">Lakonishok, J., Shleifer, A., &amp; Vishny, R. W. (1992). The impact of institutional trading on stock prices. Journal of Financial Economics, 32(1), 23–43. https://doi.org/10.1016/0304-405X(92)90023-Q</w:t>
      </w:r>
    </w:p>
    <w:p>
      <w:pPr>
        <w:spacing w:after="40" w:line="480" w:lineRule="auto"/>
        <w:ind w:left="720" w:hanging="720"/>
        <w:jc w:val="left"/>
      </w:pPr>
      <w:r>
        <w:rPr>
          <w:rFonts w:ascii="Times New Roman" w:cs="Times New Roman" w:eastAsia="Times New Roman" w:hAnsi="Times New Roman"/>
          <w:sz w:val="24"/>
          <w:szCs w:val="24"/>
        </w:rPr>
        <w:t xml:space="preserve">Nofsinger, J. R., &amp; Sias, R. W. (1999). Herding and feedback trading by institutional and individual investors. The Journal of Finance, 54(6), 2263–2295. https://doi.org/10.1111/0022-1082.00188</w:t>
      </w:r>
    </w:p>
    <w:p>
      <w:pPr>
        <w:spacing w:after="40" w:line="480" w:lineRule="auto"/>
        <w:ind w:left="720" w:hanging="720"/>
        <w:jc w:val="left"/>
      </w:pPr>
      <w:r>
        <w:rPr>
          <w:rFonts w:ascii="Times New Roman" w:cs="Times New Roman" w:eastAsia="Times New Roman" w:hAnsi="Times New Roman"/>
          <w:sz w:val="24"/>
          <w:szCs w:val="24"/>
        </w:rPr>
        <w:t xml:space="preserve">Rabiner, L. R. (1989). A tutorial on hidden Markov models and selected applications in speech recognition. Proceedings of the IEEE, 77(2), 257–286. https://doi.org/10.1109/5.18626</w:t>
      </w:r>
    </w:p>
    <w:p>
      <w:pPr>
        <w:spacing w:after="40" w:line="480" w:lineRule="auto"/>
        <w:ind w:left="720" w:hanging="720"/>
        <w:jc w:val="left"/>
      </w:pPr>
      <w:r>
        <w:rPr>
          <w:rFonts w:ascii="Times New Roman" w:cs="Times New Roman" w:eastAsia="Times New Roman" w:hAnsi="Times New Roman"/>
          <w:sz w:val="24"/>
          <w:szCs w:val="24"/>
        </w:rPr>
        <w:t xml:space="preserve">Sias, R. W., Starks, L. T., &amp; Titman, S. (2006). Changes in institutional ownership and stock returns: Assessment and methodology. The Journal of Business, 79(6), 2869–2910. https://doi.org/10.1086/508002</w:t>
      </w:r>
    </w:p>
    <w:p>
      <w:pPr>
        <w:spacing w:before="120" w:line="360" w:lineRule="auto"/>
      </w:pPr>
      <w:r>
        <w:rPr>
          <w:rFonts w:ascii="Times New Roman" w:cs="Times New Roman" w:eastAsia="Times New Roman" w:hAnsi="Times New Roman"/>
          <w:i/>
          <w:iCs/>
          <w:sz w:val="20"/>
          <w:szCs w:val="20"/>
        </w:rPr>
        <w:t xml:space="preserve">Note. This is a rough working draft. India-specific FII references (e.g., SEBI/RBI studies and prior Indian Journal of Finance articles) and all DOIs should be verified and expanded before submission.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t xml:space="preserve"/>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2026-07-13T20:00:35.407Z</dcterms:created>
  <dcterms:modified xsi:type="dcterms:W3CDTF">2026-07-13T20:00:35.410Z</dcterms:modified>
</cp:coreProperties>
</file>

<file path=docProps/custom.xml><?xml version="1.0" encoding="utf-8"?>
<Properties xmlns="http://schemas.openxmlformats.org/officeDocument/2006/custom-properties" xmlns:vt="http://schemas.openxmlformats.org/officeDocument/2006/docPropsVTypes"/>
</file>