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3D50" w14:textId="08B6C9E3" w:rsidR="00A43269" w:rsidRPr="005C7627" w:rsidRDefault="00A43269" w:rsidP="00D749F5">
      <w:pPr>
        <w:pStyle w:val="indent1"/>
        <w:numPr>
          <w:ilvl w:val="0"/>
          <w:numId w:val="1"/>
        </w:numPr>
        <w:shd w:val="clear" w:color="auto" w:fill="FFFFFF"/>
        <w:spacing w:before="0" w:beforeAutospacing="0" w:after="0" w:afterAutospacing="0" w:line="276" w:lineRule="auto"/>
        <w:ind w:left="284" w:hanging="284"/>
        <w:jc w:val="both"/>
        <w:rPr>
          <w:b/>
          <w:bCs/>
          <w:sz w:val="22"/>
          <w:szCs w:val="22"/>
          <w:u w:val="single"/>
        </w:rPr>
      </w:pPr>
      <w:r w:rsidRPr="005C7627">
        <w:rPr>
          <w:b/>
          <w:bCs/>
          <w:sz w:val="22"/>
          <w:szCs w:val="22"/>
          <w:u w:val="single"/>
        </w:rPr>
        <w:t>Applicability of TDS</w:t>
      </w:r>
    </w:p>
    <w:p w14:paraId="1D757AF4" w14:textId="77777777" w:rsidR="00877675" w:rsidRPr="005C7627" w:rsidRDefault="00877675" w:rsidP="00D749F5">
      <w:pPr>
        <w:pStyle w:val="NormalWeb"/>
        <w:ind w:left="284"/>
        <w:rPr>
          <w:sz w:val="22"/>
          <w:szCs w:val="22"/>
        </w:rPr>
      </w:pPr>
      <w:r w:rsidRPr="005C7627">
        <w:rPr>
          <w:sz w:val="22"/>
          <w:szCs w:val="22"/>
        </w:rPr>
        <w:t xml:space="preserve">Tax Deducted at Source (TDS) is governed by </w:t>
      </w:r>
      <w:proofErr w:type="gramStart"/>
      <w:r w:rsidRPr="005C7627">
        <w:rPr>
          <w:sz w:val="22"/>
          <w:szCs w:val="22"/>
        </w:rPr>
        <w:t>Chapter XVII-B</w:t>
      </w:r>
      <w:proofErr w:type="gramEnd"/>
      <w:r w:rsidRPr="005C7627">
        <w:rPr>
          <w:sz w:val="22"/>
          <w:szCs w:val="22"/>
        </w:rPr>
        <w:t xml:space="preserve"> of the Income Tax Act, 1961. However, there are several transactions where no TDS is required to be deducted. These exemptions arise due to specific provisions under the Act, judicial precedents, and clarifications issued by the Central Board of Direct Taxes (CBDT). This paper details transactions where no TDS is applicable along with supporting legal references.</w:t>
      </w:r>
    </w:p>
    <w:p w14:paraId="00953812" w14:textId="77777777" w:rsidR="00053B63" w:rsidRPr="005C7627" w:rsidRDefault="00053B63" w:rsidP="00D749F5">
      <w:pPr>
        <w:pStyle w:val="indent1"/>
        <w:numPr>
          <w:ilvl w:val="0"/>
          <w:numId w:val="1"/>
        </w:numPr>
        <w:shd w:val="clear" w:color="auto" w:fill="FFFFFF"/>
        <w:spacing w:before="0" w:beforeAutospacing="0" w:after="0" w:afterAutospacing="0" w:line="276" w:lineRule="auto"/>
        <w:ind w:left="284" w:hanging="284"/>
        <w:jc w:val="both"/>
        <w:rPr>
          <w:b/>
          <w:bCs/>
          <w:sz w:val="22"/>
          <w:szCs w:val="22"/>
          <w:u w:val="single"/>
        </w:rPr>
      </w:pPr>
      <w:r w:rsidRPr="005C7627">
        <w:rPr>
          <w:b/>
          <w:bCs/>
          <w:sz w:val="22"/>
          <w:szCs w:val="22"/>
          <w:u w:val="single"/>
        </w:rPr>
        <w:t>Rate of TDS</w:t>
      </w:r>
    </w:p>
    <w:p w14:paraId="7794C907" w14:textId="77777777" w:rsidR="00053B63" w:rsidRPr="005C7627" w:rsidRDefault="00053B63" w:rsidP="00D749F5">
      <w:pPr>
        <w:pStyle w:val="indent1"/>
        <w:shd w:val="clear" w:color="auto" w:fill="FFFFFF"/>
        <w:spacing w:before="0" w:beforeAutospacing="0" w:after="0" w:afterAutospacing="0" w:line="276" w:lineRule="auto"/>
        <w:ind w:left="284" w:hanging="284"/>
        <w:jc w:val="both"/>
        <w:rPr>
          <w:b/>
          <w:bCs/>
          <w:sz w:val="22"/>
          <w:szCs w:val="22"/>
        </w:rPr>
      </w:pPr>
    </w:p>
    <w:p w14:paraId="365B5F3F" w14:textId="32C38DFB" w:rsidR="00080719" w:rsidRPr="005C7627" w:rsidRDefault="00053B63" w:rsidP="00D749F5">
      <w:pPr>
        <w:pStyle w:val="indent1"/>
        <w:shd w:val="clear" w:color="auto" w:fill="FFFFFF"/>
        <w:spacing w:before="0" w:beforeAutospacing="0" w:after="0" w:afterAutospacing="0" w:line="276" w:lineRule="auto"/>
        <w:ind w:left="284"/>
        <w:jc w:val="both"/>
        <w:rPr>
          <w:sz w:val="22"/>
          <w:szCs w:val="22"/>
          <w:shd w:val="clear" w:color="auto" w:fill="FFFFFF"/>
        </w:rPr>
      </w:pPr>
      <w:r w:rsidRPr="005C7627">
        <w:rPr>
          <w:sz w:val="22"/>
          <w:szCs w:val="22"/>
        </w:rPr>
        <w:t>T</w:t>
      </w:r>
      <w:r w:rsidR="00877675" w:rsidRPr="005C7627">
        <w:rPr>
          <w:sz w:val="22"/>
          <w:szCs w:val="22"/>
        </w:rPr>
        <w:t>DS not applicable</w:t>
      </w:r>
    </w:p>
    <w:p w14:paraId="331AFB3E" w14:textId="77777777" w:rsidR="00D749F5" w:rsidRPr="005C7627" w:rsidRDefault="00D749F5" w:rsidP="00D749F5">
      <w:pPr>
        <w:pStyle w:val="indent1"/>
        <w:shd w:val="clear" w:color="auto" w:fill="FFFFFF"/>
        <w:spacing w:before="0" w:beforeAutospacing="0" w:after="0" w:afterAutospacing="0" w:line="276" w:lineRule="auto"/>
        <w:ind w:left="284" w:hanging="284"/>
        <w:jc w:val="both"/>
        <w:rPr>
          <w:b/>
          <w:bCs/>
          <w:sz w:val="22"/>
          <w:szCs w:val="22"/>
        </w:rPr>
      </w:pPr>
    </w:p>
    <w:p w14:paraId="0C667298" w14:textId="4D683DE3" w:rsidR="00C500CB" w:rsidRPr="005C7627" w:rsidRDefault="00BE71FF" w:rsidP="00D749F5">
      <w:pPr>
        <w:pStyle w:val="indent1"/>
        <w:numPr>
          <w:ilvl w:val="0"/>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TDS sections</w:t>
      </w:r>
    </w:p>
    <w:p w14:paraId="242BC2BA" w14:textId="77777777" w:rsidR="00256376" w:rsidRPr="005C7627" w:rsidRDefault="00256376" w:rsidP="00D749F5">
      <w:pPr>
        <w:pStyle w:val="indent1"/>
        <w:shd w:val="clear" w:color="auto" w:fill="FFFFFF"/>
        <w:spacing w:before="0" w:beforeAutospacing="0" w:after="0" w:afterAutospacing="0" w:line="276" w:lineRule="auto"/>
        <w:ind w:left="284" w:hanging="284"/>
        <w:jc w:val="both"/>
        <w:rPr>
          <w:b/>
          <w:bCs/>
          <w:sz w:val="22"/>
          <w:szCs w:val="22"/>
        </w:rPr>
      </w:pPr>
    </w:p>
    <w:p w14:paraId="73FA7CE5" w14:textId="0FEEF88C" w:rsidR="005D25AE" w:rsidRPr="005C7627" w:rsidRDefault="005D25AE" w:rsidP="00D749F5">
      <w:pPr>
        <w:pStyle w:val="indent1"/>
        <w:shd w:val="clear" w:color="auto" w:fill="FFFFFF"/>
        <w:spacing w:before="0" w:beforeAutospacing="0" w:after="0" w:afterAutospacing="0" w:line="276" w:lineRule="auto"/>
        <w:ind w:left="284"/>
        <w:jc w:val="both"/>
        <w:rPr>
          <w:sz w:val="22"/>
          <w:szCs w:val="22"/>
        </w:rPr>
      </w:pPr>
      <w:r w:rsidRPr="005C7627">
        <w:rPr>
          <w:sz w:val="22"/>
          <w:szCs w:val="22"/>
        </w:rPr>
        <w:t xml:space="preserve">Below </w:t>
      </w:r>
      <w:proofErr w:type="gramStart"/>
      <w:r w:rsidRPr="005C7627">
        <w:rPr>
          <w:sz w:val="22"/>
          <w:szCs w:val="22"/>
        </w:rPr>
        <w:t>are</w:t>
      </w:r>
      <w:proofErr w:type="gramEnd"/>
      <w:r w:rsidRPr="005C7627">
        <w:rPr>
          <w:sz w:val="22"/>
          <w:szCs w:val="22"/>
        </w:rPr>
        <w:t xml:space="preserve"> list of TDS sections under which a particular transactions is considered as not subject to TDS.</w:t>
      </w:r>
    </w:p>
    <w:p w14:paraId="0717013C" w14:textId="77777777" w:rsidR="005D25AE" w:rsidRPr="005C7627" w:rsidRDefault="005D25AE" w:rsidP="00D749F5">
      <w:pPr>
        <w:pStyle w:val="indent1"/>
        <w:shd w:val="clear" w:color="auto" w:fill="FFFFFF"/>
        <w:spacing w:before="0" w:beforeAutospacing="0" w:after="0" w:afterAutospacing="0" w:line="276" w:lineRule="auto"/>
        <w:ind w:left="284" w:hanging="284"/>
        <w:jc w:val="both"/>
        <w:rPr>
          <w:b/>
          <w:bCs/>
          <w:sz w:val="22"/>
          <w:szCs w:val="22"/>
        </w:rPr>
      </w:pPr>
    </w:p>
    <w:p w14:paraId="718A81F5" w14:textId="597328F9" w:rsidR="00210444" w:rsidRPr="005C7627" w:rsidRDefault="0055417E" w:rsidP="00D749F5">
      <w:pPr>
        <w:pStyle w:val="indent1"/>
        <w:numPr>
          <w:ilvl w:val="1"/>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u w:val="single"/>
          <w:shd w:val="clear" w:color="auto" w:fill="FFFFFF"/>
        </w:rPr>
        <w:t xml:space="preserve">NO </w:t>
      </w:r>
      <w:r w:rsidR="00210444" w:rsidRPr="005C7627">
        <w:rPr>
          <w:b/>
          <w:bCs/>
          <w:sz w:val="22"/>
          <w:szCs w:val="22"/>
          <w:u w:val="single"/>
          <w:shd w:val="clear" w:color="auto" w:fill="FFFFFF"/>
        </w:rPr>
        <w:t xml:space="preserve">TDS </w:t>
      </w:r>
      <w:r w:rsidRPr="005C7627">
        <w:rPr>
          <w:b/>
          <w:bCs/>
          <w:sz w:val="22"/>
          <w:szCs w:val="22"/>
          <w:u w:val="single"/>
          <w:shd w:val="clear" w:color="auto" w:fill="FFFFFF"/>
        </w:rPr>
        <w:t xml:space="preserve">under </w:t>
      </w:r>
      <w:r w:rsidR="00210444" w:rsidRPr="005C7627">
        <w:rPr>
          <w:b/>
          <w:bCs/>
          <w:sz w:val="22"/>
          <w:szCs w:val="22"/>
          <w:u w:val="single"/>
          <w:shd w:val="clear" w:color="auto" w:fill="FFFFFF"/>
        </w:rPr>
        <w:t>Section 196</w:t>
      </w:r>
    </w:p>
    <w:p w14:paraId="69A88CF0" w14:textId="77777777" w:rsidR="00210444" w:rsidRPr="005C7627" w:rsidRDefault="00210444" w:rsidP="00D749F5">
      <w:pPr>
        <w:pStyle w:val="indent1"/>
        <w:shd w:val="clear" w:color="auto" w:fill="FFFFFF"/>
        <w:spacing w:before="0" w:beforeAutospacing="0" w:after="0" w:afterAutospacing="0" w:line="276" w:lineRule="auto"/>
        <w:ind w:left="284" w:hanging="284"/>
        <w:jc w:val="both"/>
        <w:rPr>
          <w:sz w:val="22"/>
          <w:szCs w:val="22"/>
          <w:shd w:val="clear" w:color="auto" w:fill="FFFFFF"/>
        </w:rPr>
      </w:pPr>
    </w:p>
    <w:p w14:paraId="0233B3A0" w14:textId="77777777" w:rsidR="00210444" w:rsidRPr="005C7627" w:rsidRDefault="00210444" w:rsidP="00D749F5">
      <w:pPr>
        <w:pStyle w:val="indent1"/>
        <w:shd w:val="clear" w:color="auto" w:fill="FFFFFF"/>
        <w:spacing w:before="0" w:beforeAutospacing="0" w:after="0" w:afterAutospacing="0" w:line="276" w:lineRule="auto"/>
        <w:ind w:left="568" w:hanging="284"/>
        <w:jc w:val="both"/>
        <w:rPr>
          <w:sz w:val="22"/>
          <w:szCs w:val="22"/>
          <w:shd w:val="clear" w:color="auto" w:fill="FFFFFF"/>
        </w:rPr>
      </w:pPr>
      <w:r w:rsidRPr="005C7627">
        <w:rPr>
          <w:sz w:val="22"/>
          <w:szCs w:val="22"/>
          <w:shd w:val="clear" w:color="auto" w:fill="FFFFFF"/>
        </w:rPr>
        <w:t xml:space="preserve">In the </w:t>
      </w:r>
      <w:r w:rsidRPr="005C7627">
        <w:rPr>
          <w:sz w:val="22"/>
          <w:szCs w:val="22"/>
        </w:rPr>
        <w:t>following</w:t>
      </w:r>
      <w:r w:rsidRPr="005C7627">
        <w:rPr>
          <w:sz w:val="22"/>
          <w:szCs w:val="22"/>
          <w:shd w:val="clear" w:color="auto" w:fill="FFFFFF"/>
        </w:rPr>
        <w:t xml:space="preserve"> cases, tax is not required to be deducted at source: </w:t>
      </w:r>
    </w:p>
    <w:p w14:paraId="147EABD6" w14:textId="77777777" w:rsidR="00210444" w:rsidRPr="005C7627" w:rsidRDefault="00210444" w:rsidP="00D749F5">
      <w:pPr>
        <w:pStyle w:val="indent1"/>
        <w:shd w:val="clear" w:color="auto" w:fill="FFFFFF"/>
        <w:spacing w:before="0" w:beforeAutospacing="0" w:after="0" w:afterAutospacing="0" w:line="276" w:lineRule="auto"/>
        <w:ind w:left="568" w:hanging="284"/>
        <w:jc w:val="both"/>
        <w:rPr>
          <w:sz w:val="22"/>
          <w:szCs w:val="22"/>
          <w:shd w:val="clear" w:color="auto" w:fill="FFFFFF"/>
        </w:rPr>
      </w:pPr>
    </w:p>
    <w:p w14:paraId="5A92F8C0" w14:textId="63BA6AD4" w:rsidR="00210444" w:rsidRPr="005C7627" w:rsidRDefault="00210444" w:rsidP="00D749F5">
      <w:pPr>
        <w:pStyle w:val="indent1"/>
        <w:numPr>
          <w:ilvl w:val="4"/>
          <w:numId w:val="1"/>
        </w:numPr>
        <w:shd w:val="clear" w:color="auto" w:fill="FFFFFF"/>
        <w:spacing w:before="0" w:beforeAutospacing="0" w:after="0" w:afterAutospacing="0" w:line="276" w:lineRule="auto"/>
        <w:ind w:left="568" w:hanging="284"/>
        <w:jc w:val="both"/>
        <w:rPr>
          <w:sz w:val="22"/>
          <w:szCs w:val="22"/>
          <w:shd w:val="clear" w:color="auto" w:fill="FFFFFF"/>
        </w:rPr>
      </w:pPr>
      <w:r w:rsidRPr="005C7627">
        <w:rPr>
          <w:color w:val="333333"/>
          <w:sz w:val="22"/>
          <w:szCs w:val="22"/>
          <w:shd w:val="clear" w:color="auto" w:fill="FFFFFF"/>
        </w:rPr>
        <w:t>As per Section 196 of Income tax act, 1961, no deduction of tax shall be made by any person from any sums payable to</w:t>
      </w:r>
      <w:r w:rsidR="00D749F5" w:rsidRPr="005C7627">
        <w:rPr>
          <w:color w:val="333333"/>
          <w:sz w:val="22"/>
          <w:szCs w:val="22"/>
          <w:shd w:val="clear" w:color="auto" w:fill="FFFFFF"/>
        </w:rPr>
        <w:t>-</w:t>
      </w:r>
    </w:p>
    <w:p w14:paraId="1FAC89C1" w14:textId="77777777" w:rsidR="00D749F5" w:rsidRPr="005C7627" w:rsidRDefault="00D749F5" w:rsidP="00D749F5">
      <w:pPr>
        <w:pStyle w:val="indent1"/>
        <w:shd w:val="clear" w:color="auto" w:fill="FFFFFF"/>
        <w:spacing w:before="0" w:beforeAutospacing="0" w:after="0" w:afterAutospacing="0" w:line="276" w:lineRule="auto"/>
        <w:ind w:left="568"/>
        <w:jc w:val="both"/>
        <w:rPr>
          <w:sz w:val="22"/>
          <w:szCs w:val="22"/>
          <w:shd w:val="clear" w:color="auto" w:fill="FFFFFF"/>
        </w:rPr>
      </w:pPr>
    </w:p>
    <w:p w14:paraId="535DBD95" w14:textId="77777777" w:rsidR="00210444" w:rsidRPr="005C7627" w:rsidRDefault="00210444" w:rsidP="00D749F5">
      <w:pPr>
        <w:pStyle w:val="indent1"/>
        <w:numPr>
          <w:ilvl w:val="6"/>
          <w:numId w:val="1"/>
        </w:numPr>
        <w:shd w:val="clear" w:color="auto" w:fill="FFFFFF"/>
        <w:spacing w:before="0" w:beforeAutospacing="0" w:after="0" w:afterAutospacing="0" w:line="276" w:lineRule="auto"/>
        <w:ind w:left="851" w:hanging="567"/>
        <w:jc w:val="both"/>
        <w:rPr>
          <w:sz w:val="22"/>
          <w:szCs w:val="22"/>
          <w:shd w:val="clear" w:color="auto" w:fill="FFFFFF"/>
        </w:rPr>
      </w:pPr>
      <w:r w:rsidRPr="005C7627">
        <w:rPr>
          <w:color w:val="333333"/>
          <w:sz w:val="22"/>
          <w:szCs w:val="22"/>
          <w:shd w:val="clear" w:color="auto" w:fill="FFFFFF"/>
        </w:rPr>
        <w:t xml:space="preserve">Government (i.e. State and Central Government) </w:t>
      </w:r>
    </w:p>
    <w:p w14:paraId="4E3EE32E" w14:textId="77777777" w:rsidR="00210444" w:rsidRPr="005C7627" w:rsidRDefault="00210444" w:rsidP="00D749F5">
      <w:pPr>
        <w:pStyle w:val="indent1"/>
        <w:numPr>
          <w:ilvl w:val="6"/>
          <w:numId w:val="1"/>
        </w:numPr>
        <w:shd w:val="clear" w:color="auto" w:fill="FFFFFF"/>
        <w:spacing w:before="0" w:beforeAutospacing="0" w:after="0" w:afterAutospacing="0" w:line="276" w:lineRule="auto"/>
        <w:ind w:left="851" w:hanging="567"/>
        <w:jc w:val="both"/>
        <w:rPr>
          <w:color w:val="333333"/>
          <w:sz w:val="22"/>
          <w:szCs w:val="22"/>
          <w:shd w:val="clear" w:color="auto" w:fill="FFFFFF"/>
        </w:rPr>
      </w:pPr>
      <w:r w:rsidRPr="005C7627">
        <w:rPr>
          <w:color w:val="333333"/>
          <w:sz w:val="22"/>
          <w:szCs w:val="22"/>
          <w:shd w:val="clear" w:color="auto" w:fill="FFFFFF"/>
        </w:rPr>
        <w:t>RBI Corporation established under central act which is, under any law for the time being in force, exempt from income-tax on its income, or.</w:t>
      </w:r>
    </w:p>
    <w:p w14:paraId="5D9E44AF" w14:textId="77777777" w:rsidR="00210444" w:rsidRPr="005C7627" w:rsidRDefault="00210444" w:rsidP="00D749F5">
      <w:pPr>
        <w:pStyle w:val="indent1"/>
        <w:numPr>
          <w:ilvl w:val="6"/>
          <w:numId w:val="1"/>
        </w:numPr>
        <w:shd w:val="clear" w:color="auto" w:fill="FFFFFF"/>
        <w:spacing w:before="0" w:beforeAutospacing="0" w:after="0" w:afterAutospacing="0" w:line="276" w:lineRule="auto"/>
        <w:ind w:left="851" w:hanging="567"/>
        <w:jc w:val="both"/>
        <w:rPr>
          <w:color w:val="333333"/>
          <w:sz w:val="22"/>
          <w:szCs w:val="22"/>
          <w:shd w:val="clear" w:color="auto" w:fill="FFFFFF"/>
        </w:rPr>
      </w:pPr>
      <w:r w:rsidRPr="005C7627">
        <w:rPr>
          <w:sz w:val="22"/>
          <w:szCs w:val="22"/>
          <w:shd w:val="clear" w:color="auto" w:fill="FFFFFF"/>
        </w:rPr>
        <w:t>a corporation established by or under a Central Act which is, under any law for the time being in force.</w:t>
      </w:r>
    </w:p>
    <w:p w14:paraId="1BBDD9C6" w14:textId="48C83BBD" w:rsidR="00210444" w:rsidRPr="005C7627" w:rsidRDefault="00210444" w:rsidP="00D749F5">
      <w:pPr>
        <w:pStyle w:val="indent1"/>
        <w:numPr>
          <w:ilvl w:val="6"/>
          <w:numId w:val="1"/>
        </w:numPr>
        <w:shd w:val="clear" w:color="auto" w:fill="FFFFFF"/>
        <w:spacing w:before="0" w:beforeAutospacing="0" w:after="0" w:afterAutospacing="0" w:line="276" w:lineRule="auto"/>
        <w:ind w:left="851" w:hanging="567"/>
        <w:jc w:val="both"/>
        <w:rPr>
          <w:color w:val="333333"/>
          <w:sz w:val="22"/>
          <w:szCs w:val="22"/>
          <w:shd w:val="clear" w:color="auto" w:fill="FFFFFF"/>
        </w:rPr>
      </w:pPr>
      <w:r w:rsidRPr="005C7627">
        <w:rPr>
          <w:sz w:val="22"/>
          <w:szCs w:val="22"/>
          <w:shd w:val="clear" w:color="auto" w:fill="FFFFFF"/>
        </w:rPr>
        <w:t>exempt from income-tax on its income</w:t>
      </w:r>
      <w:r w:rsidR="00274AC6">
        <w:rPr>
          <w:sz w:val="22"/>
          <w:szCs w:val="22"/>
          <w:shd w:val="clear" w:color="auto" w:fill="FFFFFF"/>
        </w:rPr>
        <w:t xml:space="preserve"> </w:t>
      </w:r>
      <w:r w:rsidRPr="005C7627">
        <w:rPr>
          <w:color w:val="333333"/>
          <w:sz w:val="22"/>
          <w:szCs w:val="22"/>
          <w:shd w:val="clear" w:color="auto" w:fill="FFFFFF"/>
        </w:rPr>
        <w:t>Mutual fund specified under section 10(23D)</w:t>
      </w:r>
      <w:r w:rsidRPr="005C7627">
        <w:rPr>
          <w:color w:val="333333"/>
          <w:sz w:val="22"/>
          <w:szCs w:val="22"/>
        </w:rPr>
        <w:t>.</w:t>
      </w:r>
    </w:p>
    <w:p w14:paraId="5D583F7E" w14:textId="77777777" w:rsidR="00210444" w:rsidRPr="005C7627" w:rsidRDefault="00210444" w:rsidP="00D749F5">
      <w:pPr>
        <w:pStyle w:val="indent1"/>
        <w:shd w:val="clear" w:color="auto" w:fill="FFFFFF"/>
        <w:spacing w:before="0" w:beforeAutospacing="0" w:after="0" w:afterAutospacing="0" w:line="276" w:lineRule="auto"/>
        <w:ind w:left="284" w:hanging="284"/>
        <w:jc w:val="both"/>
        <w:rPr>
          <w:sz w:val="22"/>
          <w:szCs w:val="22"/>
          <w:shd w:val="clear" w:color="auto" w:fill="FFFFFF"/>
        </w:rPr>
      </w:pPr>
    </w:p>
    <w:p w14:paraId="1D88B851" w14:textId="77777777" w:rsidR="00210444" w:rsidRPr="005C7627" w:rsidRDefault="00210444" w:rsidP="00D749F5">
      <w:pPr>
        <w:pStyle w:val="indent1"/>
        <w:numPr>
          <w:ilvl w:val="4"/>
          <w:numId w:val="1"/>
        </w:numPr>
        <w:shd w:val="clear" w:color="auto" w:fill="FFFFFF"/>
        <w:spacing w:before="0" w:beforeAutospacing="0" w:after="0" w:afterAutospacing="0" w:line="276" w:lineRule="auto"/>
        <w:ind w:left="284" w:hanging="284"/>
        <w:jc w:val="both"/>
        <w:rPr>
          <w:sz w:val="22"/>
          <w:szCs w:val="22"/>
          <w:shd w:val="clear" w:color="auto" w:fill="FFFFFF"/>
        </w:rPr>
      </w:pPr>
      <w:r w:rsidRPr="005C7627">
        <w:rPr>
          <w:sz w:val="22"/>
          <w:szCs w:val="22"/>
          <w:shd w:val="clear" w:color="auto" w:fill="FFFFFF"/>
        </w:rPr>
        <w:t>List of corporations as per TDS section 196(iii) notified as per circular no. 18/2017 issued by CBDT 29</w:t>
      </w:r>
      <w:r w:rsidRPr="005C7627">
        <w:rPr>
          <w:sz w:val="22"/>
          <w:szCs w:val="22"/>
          <w:shd w:val="clear" w:color="auto" w:fill="FFFFFF"/>
          <w:vertAlign w:val="superscript"/>
        </w:rPr>
        <w:t>th</w:t>
      </w:r>
      <w:r w:rsidRPr="005C7627">
        <w:rPr>
          <w:sz w:val="22"/>
          <w:szCs w:val="22"/>
          <w:shd w:val="clear" w:color="auto" w:fill="FFFFFF"/>
        </w:rPr>
        <w:t xml:space="preserve"> May 2017.</w:t>
      </w:r>
    </w:p>
    <w:p w14:paraId="2238BB53" w14:textId="77777777" w:rsidR="00D749F5" w:rsidRPr="005C7627" w:rsidRDefault="00D749F5" w:rsidP="00D749F5">
      <w:pPr>
        <w:pStyle w:val="indent1"/>
        <w:shd w:val="clear" w:color="auto" w:fill="FFFFFF"/>
        <w:spacing w:before="0" w:beforeAutospacing="0" w:after="0" w:afterAutospacing="0" w:line="276" w:lineRule="auto"/>
        <w:ind w:left="284"/>
        <w:jc w:val="both"/>
        <w:rPr>
          <w:sz w:val="22"/>
          <w:szCs w:val="22"/>
          <w:shd w:val="clear" w:color="auto" w:fill="FFFFFF"/>
        </w:rPr>
      </w:pPr>
    </w:p>
    <w:p w14:paraId="2113B25A" w14:textId="77777777" w:rsidR="00210444" w:rsidRPr="005C7627" w:rsidRDefault="00210444" w:rsidP="00D749F5">
      <w:pPr>
        <w:pStyle w:val="indent1"/>
        <w:shd w:val="clear" w:color="auto" w:fill="FFFFFF"/>
        <w:spacing w:before="0" w:beforeAutospacing="0" w:after="0" w:afterAutospacing="0" w:line="276" w:lineRule="auto"/>
        <w:ind w:left="284"/>
        <w:jc w:val="both"/>
        <w:rPr>
          <w:sz w:val="22"/>
          <w:szCs w:val="22"/>
          <w:shd w:val="clear" w:color="auto" w:fill="FFFFFF"/>
        </w:rPr>
      </w:pPr>
      <w:r w:rsidRPr="005C7627">
        <w:rPr>
          <w:b/>
          <w:bCs/>
          <w:sz w:val="22"/>
          <w:szCs w:val="22"/>
          <w:shd w:val="clear" w:color="auto" w:fill="FFFFFF"/>
        </w:rPr>
        <w:t>Background</w:t>
      </w:r>
      <w:r w:rsidRPr="005C7627">
        <w:rPr>
          <w:sz w:val="22"/>
          <w:szCs w:val="22"/>
          <w:shd w:val="clear" w:color="auto" w:fill="FFFFFF"/>
        </w:rPr>
        <w:t>: Previous Circulars No. 4/2002 and No. 7/2015 laid down that entities whose income is unconditionally exempt under Section 10 and who are not required to file returns under Section 139 are exempt from TDS. The need to update these circulars to include new entities and remove those whose exemptions have been withdrawn or who are now required to file returns.</w:t>
      </w:r>
    </w:p>
    <w:p w14:paraId="0BADDFA5" w14:textId="77777777" w:rsidR="00210444" w:rsidRPr="005C7627" w:rsidRDefault="00210444" w:rsidP="00D749F5">
      <w:pPr>
        <w:pStyle w:val="indent1"/>
        <w:shd w:val="clear" w:color="auto" w:fill="FFFFFF"/>
        <w:spacing w:before="0" w:beforeAutospacing="0" w:after="0" w:afterAutospacing="0" w:line="276" w:lineRule="auto"/>
        <w:ind w:left="284" w:hanging="284"/>
        <w:jc w:val="both"/>
        <w:rPr>
          <w:b/>
          <w:bCs/>
          <w:sz w:val="22"/>
          <w:szCs w:val="22"/>
          <w:shd w:val="clear" w:color="auto" w:fill="FFFFFF"/>
        </w:rPr>
      </w:pPr>
    </w:p>
    <w:p w14:paraId="28697238" w14:textId="77777777" w:rsidR="00210444" w:rsidRPr="005C7627" w:rsidRDefault="00210444" w:rsidP="006E20DF">
      <w:pPr>
        <w:pStyle w:val="indent1"/>
        <w:shd w:val="clear" w:color="auto" w:fill="FFFFFF"/>
        <w:spacing w:before="0" w:beforeAutospacing="0" w:after="0" w:afterAutospacing="0" w:line="276" w:lineRule="auto"/>
        <w:ind w:left="568" w:hanging="284"/>
        <w:jc w:val="both"/>
        <w:rPr>
          <w:sz w:val="22"/>
          <w:szCs w:val="22"/>
          <w:shd w:val="clear" w:color="auto" w:fill="FFFFFF"/>
        </w:rPr>
      </w:pPr>
      <w:r w:rsidRPr="005C7627">
        <w:rPr>
          <w:b/>
          <w:bCs/>
          <w:sz w:val="22"/>
          <w:szCs w:val="22"/>
          <w:shd w:val="clear" w:color="auto" w:fill="FFFFFF"/>
        </w:rPr>
        <w:t>Revised List of Exempt Entities</w:t>
      </w:r>
      <w:r w:rsidRPr="005C7627">
        <w:rPr>
          <w:sz w:val="22"/>
          <w:szCs w:val="22"/>
          <w:shd w:val="clear" w:color="auto" w:fill="FFFFFF"/>
        </w:rPr>
        <w:t>:</w:t>
      </w:r>
    </w:p>
    <w:p w14:paraId="4E3C610F" w14:textId="2FF5D985" w:rsidR="005C7627" w:rsidRPr="005C7627" w:rsidRDefault="00210444" w:rsidP="005C7627">
      <w:pPr>
        <w:pStyle w:val="indent1"/>
        <w:shd w:val="clear" w:color="auto" w:fill="FFFFFF"/>
        <w:spacing w:after="0" w:line="276" w:lineRule="auto"/>
        <w:ind w:left="568"/>
        <w:jc w:val="both"/>
        <w:rPr>
          <w:sz w:val="22"/>
          <w:szCs w:val="22"/>
          <w:shd w:val="clear" w:color="auto" w:fill="FFFFFF"/>
        </w:rPr>
      </w:pPr>
      <w:r w:rsidRPr="005C7627">
        <w:rPr>
          <w:sz w:val="22"/>
          <w:szCs w:val="22"/>
          <w:shd w:val="clear" w:color="auto" w:fill="FFFFFF"/>
        </w:rPr>
        <w:lastRenderedPageBreak/>
        <w:t xml:space="preserve">The circular provides an updated list of entities exempt from TDS, which </w:t>
      </w:r>
      <w:proofErr w:type="gramStart"/>
      <w:r w:rsidRPr="005C7627">
        <w:rPr>
          <w:sz w:val="22"/>
          <w:szCs w:val="22"/>
          <w:shd w:val="clear" w:color="auto" w:fill="FFFFFF"/>
        </w:rPr>
        <w:t>includes</w:t>
      </w:r>
      <w:r w:rsidR="00CA67F2">
        <w:rPr>
          <w:sz w:val="22"/>
          <w:szCs w:val="22"/>
          <w:shd w:val="clear" w:color="auto" w:fill="FFFFFF"/>
        </w:rPr>
        <w:t xml:space="preserve"> </w:t>
      </w:r>
      <w:r w:rsidRPr="005C7627">
        <w:rPr>
          <w:sz w:val="22"/>
          <w:szCs w:val="22"/>
          <w:shd w:val="clear" w:color="auto" w:fill="FFFFFF"/>
        </w:rPr>
        <w:t>:</w:t>
      </w:r>
      <w:proofErr w:type="gramEnd"/>
      <w:r w:rsidR="005C7627" w:rsidRPr="005C7627">
        <w:rPr>
          <w:sz w:val="22"/>
          <w:szCs w:val="22"/>
        </w:rPr>
        <w:t xml:space="preserve"> </w:t>
      </w:r>
      <w:r w:rsidR="005C7627" w:rsidRPr="005C7627">
        <w:rPr>
          <w:sz w:val="22"/>
          <w:szCs w:val="22"/>
          <w:shd w:val="clear" w:color="auto" w:fill="FFFFFF"/>
        </w:rPr>
        <w:t xml:space="preserve">as per Taxmann </w:t>
      </w:r>
    </w:p>
    <w:p w14:paraId="7D6449EC" w14:textId="77777777" w:rsidR="005C7627" w:rsidRPr="005C7627" w:rsidRDefault="005C7627" w:rsidP="005C7627">
      <w:pPr>
        <w:pStyle w:val="indent1"/>
        <w:shd w:val="clear" w:color="auto" w:fill="FFFFFF"/>
        <w:spacing w:after="0" w:line="276" w:lineRule="auto"/>
        <w:ind w:left="568"/>
        <w:jc w:val="both"/>
        <w:rPr>
          <w:sz w:val="22"/>
          <w:szCs w:val="22"/>
          <w:shd w:val="clear" w:color="auto" w:fill="FFFFFF"/>
        </w:rPr>
      </w:pPr>
      <w:r w:rsidRPr="005C7627">
        <w:rPr>
          <w:sz w:val="22"/>
          <w:szCs w:val="22"/>
          <w:shd w:val="clear" w:color="auto" w:fill="FFFFFF"/>
        </w:rPr>
        <w:t>Following are the entities whose income is unconditionally exempt under section 10 and who are not required to furnish their return:</w:t>
      </w:r>
    </w:p>
    <w:p w14:paraId="715A2C80" w14:textId="7777777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(a)  Local authority [Section 10(20)]</w:t>
      </w:r>
    </w:p>
    <w:p w14:paraId="1D24AF18" w14:textId="7A9A218D"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(b)  Regimental Fund or Non-public Fund established by the Armed Forces of the Union</w:t>
      </w:r>
      <w:r w:rsidR="00CA67F2">
        <w:rPr>
          <w:sz w:val="22"/>
          <w:szCs w:val="22"/>
          <w:shd w:val="clear" w:color="auto" w:fill="FFFFFF"/>
        </w:rPr>
        <w:t xml:space="preserve"> </w:t>
      </w:r>
      <w:r w:rsidRPr="005C7627">
        <w:rPr>
          <w:sz w:val="22"/>
          <w:szCs w:val="22"/>
          <w:shd w:val="clear" w:color="auto" w:fill="FFFFFF"/>
        </w:rPr>
        <w:t>[Section 10(23AA)]</w:t>
      </w:r>
    </w:p>
    <w:p w14:paraId="235DE976" w14:textId="060604E1"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(c)  Fund set up by the LIC or by any other insurer</w:t>
      </w:r>
      <w:r w:rsidR="00CA67F2">
        <w:rPr>
          <w:sz w:val="22"/>
          <w:szCs w:val="22"/>
          <w:shd w:val="clear" w:color="auto" w:fill="FFFFFF"/>
        </w:rPr>
        <w:t xml:space="preserve"> </w:t>
      </w:r>
      <w:r w:rsidRPr="005C7627">
        <w:rPr>
          <w:sz w:val="22"/>
          <w:szCs w:val="22"/>
          <w:shd w:val="clear" w:color="auto" w:fill="FFFFFF"/>
        </w:rPr>
        <w:t>[Section 10(23AAB)]</w:t>
      </w:r>
    </w:p>
    <w:p w14:paraId="64D2211E" w14:textId="7777777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(d) Authority established for development of Khadi or Village Industries (whether known as Khadi and Village Industries Board or by any other name) [Section 10(23BB)]</w:t>
      </w:r>
    </w:p>
    <w:p w14:paraId="6C4D6026" w14:textId="05A69C7C"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(e)  Body or authority constituted or appointed by or under any Central, State or Provincial Act</w:t>
      </w:r>
      <w:r w:rsidR="00CA67F2">
        <w:rPr>
          <w:sz w:val="22"/>
          <w:szCs w:val="22"/>
          <w:shd w:val="clear" w:color="auto" w:fill="FFFFFF"/>
        </w:rPr>
        <w:t xml:space="preserve"> </w:t>
      </w:r>
      <w:r w:rsidRPr="005C7627">
        <w:rPr>
          <w:sz w:val="22"/>
          <w:szCs w:val="22"/>
          <w:shd w:val="clear" w:color="auto" w:fill="FFFFFF"/>
        </w:rPr>
        <w:t>[Section 10(23BBA)]</w:t>
      </w:r>
    </w:p>
    <w:p w14:paraId="6F6E935A" w14:textId="63CDFA5D"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(f)  SAARC Fund for Regional Projects set up by Colombo Declaration</w:t>
      </w:r>
      <w:r w:rsidR="00CA67F2">
        <w:rPr>
          <w:sz w:val="22"/>
          <w:szCs w:val="22"/>
          <w:shd w:val="clear" w:color="auto" w:fill="FFFFFF"/>
        </w:rPr>
        <w:t xml:space="preserve"> </w:t>
      </w:r>
      <w:r w:rsidRPr="005C7627">
        <w:rPr>
          <w:sz w:val="22"/>
          <w:szCs w:val="22"/>
          <w:shd w:val="clear" w:color="auto" w:fill="FFFFFF"/>
        </w:rPr>
        <w:t>[Section 10(23BBC)]</w:t>
      </w:r>
    </w:p>
    <w:p w14:paraId="0017E626" w14:textId="7777777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(g)  Insurance Regulatory and Development Authority [Section 10(23BBE)]</w:t>
      </w:r>
    </w:p>
    <w:p w14:paraId="2FE4FC6C" w14:textId="700AC043"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(h)  Central Electricity Regulatory Commission</w:t>
      </w:r>
      <w:r w:rsidR="00CA67F2">
        <w:rPr>
          <w:sz w:val="22"/>
          <w:szCs w:val="22"/>
          <w:shd w:val="clear" w:color="auto" w:fill="FFFFFF"/>
        </w:rPr>
        <w:t xml:space="preserve"> </w:t>
      </w:r>
      <w:r w:rsidRPr="005C7627">
        <w:rPr>
          <w:sz w:val="22"/>
          <w:szCs w:val="22"/>
          <w:shd w:val="clear" w:color="auto" w:fill="FFFFFF"/>
        </w:rPr>
        <w:t>[Section 10(23BBG)]</w:t>
      </w:r>
    </w:p>
    <w:p w14:paraId="7EB4930C" w14:textId="7777777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(i)  Prasar Bharti [Section 10(23BBE)]</w:t>
      </w:r>
    </w:p>
    <w:p w14:paraId="707A3CB3" w14:textId="7777777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(j)  Prime Minister's National Relief Fund [Section 10(23</w:t>
      </w:r>
      <w:proofErr w:type="gramStart"/>
      <w:r w:rsidRPr="005C7627">
        <w:rPr>
          <w:sz w:val="22"/>
          <w:szCs w:val="22"/>
          <w:shd w:val="clear" w:color="auto" w:fill="FFFFFF"/>
        </w:rPr>
        <w:t>C)(</w:t>
      </w:r>
      <w:proofErr w:type="gramEnd"/>
      <w:r w:rsidRPr="005C7627">
        <w:rPr>
          <w:sz w:val="22"/>
          <w:szCs w:val="22"/>
          <w:shd w:val="clear" w:color="auto" w:fill="FFFFFF"/>
        </w:rPr>
        <w:t>i)]</w:t>
      </w:r>
    </w:p>
    <w:p w14:paraId="1C779D49" w14:textId="7777777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(k)  Prime Minister's Fund for promotion of Folk Art [Section 10(23</w:t>
      </w:r>
      <w:proofErr w:type="gramStart"/>
      <w:r w:rsidRPr="005C7627">
        <w:rPr>
          <w:sz w:val="22"/>
          <w:szCs w:val="22"/>
          <w:shd w:val="clear" w:color="auto" w:fill="FFFFFF"/>
        </w:rPr>
        <w:t>C)(</w:t>
      </w:r>
      <w:proofErr w:type="gramEnd"/>
      <w:r w:rsidRPr="005C7627">
        <w:rPr>
          <w:sz w:val="22"/>
          <w:szCs w:val="22"/>
          <w:shd w:val="clear" w:color="auto" w:fill="FFFFFF"/>
        </w:rPr>
        <w:t>i)]</w:t>
      </w:r>
    </w:p>
    <w:p w14:paraId="33D9AF8B" w14:textId="677EBB8E"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(l)  Prime Minister's Aid to Students Fund</w:t>
      </w:r>
      <w:r w:rsidR="00CA67F2">
        <w:rPr>
          <w:sz w:val="22"/>
          <w:szCs w:val="22"/>
          <w:shd w:val="clear" w:color="auto" w:fill="FFFFFF"/>
        </w:rPr>
        <w:t xml:space="preserve"> </w:t>
      </w:r>
      <w:r w:rsidRPr="005C7627">
        <w:rPr>
          <w:sz w:val="22"/>
          <w:szCs w:val="22"/>
          <w:shd w:val="clear" w:color="auto" w:fill="FFFFFF"/>
        </w:rPr>
        <w:t>[Section 10(23</w:t>
      </w:r>
      <w:proofErr w:type="gramStart"/>
      <w:r w:rsidRPr="005C7627">
        <w:rPr>
          <w:sz w:val="22"/>
          <w:szCs w:val="22"/>
          <w:shd w:val="clear" w:color="auto" w:fill="FFFFFF"/>
        </w:rPr>
        <w:t>C)(</w:t>
      </w:r>
      <w:proofErr w:type="gramEnd"/>
      <w:r w:rsidRPr="005C7627">
        <w:rPr>
          <w:sz w:val="22"/>
          <w:szCs w:val="22"/>
          <w:shd w:val="clear" w:color="auto" w:fill="FFFFFF"/>
        </w:rPr>
        <w:t>iii)]</w:t>
      </w:r>
    </w:p>
    <w:p w14:paraId="41303FE9" w14:textId="03EE221D"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(m) National Foundation for Communal Harmony</w:t>
      </w:r>
      <w:r w:rsidR="00CA67F2">
        <w:rPr>
          <w:sz w:val="22"/>
          <w:szCs w:val="22"/>
          <w:shd w:val="clear" w:color="auto" w:fill="FFFFFF"/>
        </w:rPr>
        <w:t xml:space="preserve"> </w:t>
      </w:r>
      <w:r w:rsidRPr="005C7627">
        <w:rPr>
          <w:sz w:val="22"/>
          <w:szCs w:val="22"/>
          <w:shd w:val="clear" w:color="auto" w:fill="FFFFFF"/>
        </w:rPr>
        <w:t>[Section 10(23</w:t>
      </w:r>
      <w:proofErr w:type="gramStart"/>
      <w:r w:rsidRPr="005C7627">
        <w:rPr>
          <w:sz w:val="22"/>
          <w:szCs w:val="22"/>
          <w:shd w:val="clear" w:color="auto" w:fill="FFFFFF"/>
        </w:rPr>
        <w:t>C)(</w:t>
      </w:r>
      <w:proofErr w:type="spellStart"/>
      <w:proofErr w:type="gramEnd"/>
      <w:r w:rsidRPr="005C7627">
        <w:rPr>
          <w:sz w:val="22"/>
          <w:szCs w:val="22"/>
          <w:shd w:val="clear" w:color="auto" w:fill="FFFFFF"/>
        </w:rPr>
        <w:t>iiia</w:t>
      </w:r>
      <w:proofErr w:type="spellEnd"/>
      <w:r w:rsidRPr="005C7627">
        <w:rPr>
          <w:sz w:val="22"/>
          <w:szCs w:val="22"/>
          <w:shd w:val="clear" w:color="auto" w:fill="FFFFFF"/>
        </w:rPr>
        <w:t>)]</w:t>
      </w:r>
    </w:p>
    <w:p w14:paraId="7310B45E" w14:textId="7777777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(n) Swatch Bharat Kosh [Section 10(23</w:t>
      </w:r>
      <w:proofErr w:type="gramStart"/>
      <w:r w:rsidRPr="005C7627">
        <w:rPr>
          <w:sz w:val="22"/>
          <w:szCs w:val="22"/>
          <w:shd w:val="clear" w:color="auto" w:fill="FFFFFF"/>
        </w:rPr>
        <w:t>C)(</w:t>
      </w:r>
      <w:proofErr w:type="spellStart"/>
      <w:proofErr w:type="gramEnd"/>
      <w:r w:rsidRPr="005C7627">
        <w:rPr>
          <w:sz w:val="22"/>
          <w:szCs w:val="22"/>
          <w:shd w:val="clear" w:color="auto" w:fill="FFFFFF"/>
        </w:rPr>
        <w:t>iiiaa</w:t>
      </w:r>
      <w:proofErr w:type="spellEnd"/>
      <w:r w:rsidRPr="005C7627">
        <w:rPr>
          <w:sz w:val="22"/>
          <w:szCs w:val="22"/>
          <w:shd w:val="clear" w:color="auto" w:fill="FFFFFF"/>
        </w:rPr>
        <w:t>)]</w:t>
      </w:r>
    </w:p>
    <w:p w14:paraId="62E47B79" w14:textId="7777777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(o)  Clean Ganga Fund [Section 10(23</w:t>
      </w:r>
      <w:proofErr w:type="gramStart"/>
      <w:r w:rsidRPr="005C7627">
        <w:rPr>
          <w:sz w:val="22"/>
          <w:szCs w:val="22"/>
          <w:shd w:val="clear" w:color="auto" w:fill="FFFFFF"/>
        </w:rPr>
        <w:t>C)(</w:t>
      </w:r>
      <w:proofErr w:type="spellStart"/>
      <w:proofErr w:type="gramEnd"/>
      <w:r w:rsidRPr="005C7627">
        <w:rPr>
          <w:sz w:val="22"/>
          <w:szCs w:val="22"/>
          <w:shd w:val="clear" w:color="auto" w:fill="FFFFFF"/>
        </w:rPr>
        <w:t>iiiaaa</w:t>
      </w:r>
      <w:proofErr w:type="spellEnd"/>
      <w:r w:rsidRPr="005C7627">
        <w:rPr>
          <w:sz w:val="22"/>
          <w:szCs w:val="22"/>
          <w:shd w:val="clear" w:color="auto" w:fill="FFFFFF"/>
        </w:rPr>
        <w:t>)]</w:t>
      </w:r>
    </w:p>
    <w:p w14:paraId="7261BE93" w14:textId="7777777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(p)  Provident fund to which the PF Act, 1925 [Section 10(25)(i)]</w:t>
      </w:r>
    </w:p>
    <w:p w14:paraId="2AD903A4" w14:textId="619F58BF"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(q)  Recognised provident fund</w:t>
      </w:r>
      <w:r w:rsidR="00CA67F2">
        <w:rPr>
          <w:sz w:val="22"/>
          <w:szCs w:val="22"/>
          <w:shd w:val="clear" w:color="auto" w:fill="FFFFFF"/>
        </w:rPr>
        <w:t xml:space="preserve"> </w:t>
      </w:r>
      <w:r w:rsidRPr="005C7627">
        <w:rPr>
          <w:sz w:val="22"/>
          <w:szCs w:val="22"/>
          <w:shd w:val="clear" w:color="auto" w:fill="FFFFFF"/>
        </w:rPr>
        <w:t>[Section 10(25)(ii)]</w:t>
      </w:r>
    </w:p>
    <w:p w14:paraId="626D7654" w14:textId="391C89A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(r)  Approved superannuation funds</w:t>
      </w:r>
      <w:r w:rsidR="00CA67F2">
        <w:rPr>
          <w:sz w:val="22"/>
          <w:szCs w:val="22"/>
          <w:shd w:val="clear" w:color="auto" w:fill="FFFFFF"/>
        </w:rPr>
        <w:t xml:space="preserve"> </w:t>
      </w:r>
      <w:r w:rsidRPr="005C7627">
        <w:rPr>
          <w:sz w:val="22"/>
          <w:szCs w:val="22"/>
          <w:shd w:val="clear" w:color="auto" w:fill="FFFFFF"/>
        </w:rPr>
        <w:t>[Section 10(25)(iii)]</w:t>
      </w:r>
    </w:p>
    <w:p w14:paraId="1C6166DC" w14:textId="16D9A596"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(s)  Approved Gratuity Fund</w:t>
      </w:r>
      <w:r w:rsidR="00CA67F2">
        <w:rPr>
          <w:sz w:val="22"/>
          <w:szCs w:val="22"/>
          <w:shd w:val="clear" w:color="auto" w:fill="FFFFFF"/>
        </w:rPr>
        <w:t xml:space="preserve"> </w:t>
      </w:r>
      <w:r w:rsidRPr="005C7627">
        <w:rPr>
          <w:sz w:val="22"/>
          <w:szCs w:val="22"/>
          <w:shd w:val="clear" w:color="auto" w:fill="FFFFFF"/>
        </w:rPr>
        <w:t>[Section 10(25)(iv)]</w:t>
      </w:r>
    </w:p>
    <w:p w14:paraId="5FB3C070" w14:textId="36B21DC5"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(t)  Other Funds</w:t>
      </w:r>
      <w:r w:rsidR="00CA67F2">
        <w:rPr>
          <w:sz w:val="22"/>
          <w:szCs w:val="22"/>
          <w:shd w:val="clear" w:color="auto" w:fill="FFFFFF"/>
        </w:rPr>
        <w:t xml:space="preserve"> </w:t>
      </w:r>
      <w:r w:rsidRPr="005C7627">
        <w:rPr>
          <w:sz w:val="22"/>
          <w:szCs w:val="22"/>
          <w:shd w:val="clear" w:color="auto" w:fill="FFFFFF"/>
        </w:rPr>
        <w:t>[Section 10(25)(v)]</w:t>
      </w:r>
    </w:p>
    <w:p w14:paraId="0DEA8393" w14:textId="6A2CE3D5"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(u)  Employees' State Insurance Fund</w:t>
      </w:r>
      <w:r w:rsidR="00CA67F2">
        <w:rPr>
          <w:sz w:val="22"/>
          <w:szCs w:val="22"/>
          <w:shd w:val="clear" w:color="auto" w:fill="FFFFFF"/>
        </w:rPr>
        <w:t xml:space="preserve"> </w:t>
      </w:r>
      <w:r w:rsidRPr="005C7627">
        <w:rPr>
          <w:sz w:val="22"/>
          <w:szCs w:val="22"/>
          <w:shd w:val="clear" w:color="auto" w:fill="FFFFFF"/>
        </w:rPr>
        <w:t>[Section 10(25A)]</w:t>
      </w:r>
    </w:p>
    <w:p w14:paraId="78C64DAE" w14:textId="572D575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(v)  Agricultural Produce Marketing Committee</w:t>
      </w:r>
      <w:r w:rsidR="00CA67F2">
        <w:rPr>
          <w:sz w:val="22"/>
          <w:szCs w:val="22"/>
          <w:shd w:val="clear" w:color="auto" w:fill="FFFFFF"/>
        </w:rPr>
        <w:t xml:space="preserve"> </w:t>
      </w:r>
      <w:r w:rsidRPr="005C7627">
        <w:rPr>
          <w:sz w:val="22"/>
          <w:szCs w:val="22"/>
          <w:shd w:val="clear" w:color="auto" w:fill="FFFFFF"/>
        </w:rPr>
        <w:t>[Section 10(26AAB)]</w:t>
      </w:r>
    </w:p>
    <w:p w14:paraId="6A9EFDA6" w14:textId="017C9334"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(w)  Corporations established for promoting interests of members of Scheduled Castes or Scheduled Tribes or backward classes</w:t>
      </w:r>
      <w:r w:rsidR="00CA67F2">
        <w:rPr>
          <w:sz w:val="22"/>
          <w:szCs w:val="22"/>
          <w:shd w:val="clear" w:color="auto" w:fill="FFFFFF"/>
        </w:rPr>
        <w:t xml:space="preserve"> </w:t>
      </w:r>
      <w:r w:rsidRPr="005C7627">
        <w:rPr>
          <w:sz w:val="22"/>
          <w:szCs w:val="22"/>
          <w:shd w:val="clear" w:color="auto" w:fill="FFFFFF"/>
        </w:rPr>
        <w:t>[Section 10(26B)]</w:t>
      </w:r>
    </w:p>
    <w:p w14:paraId="7075C9CE" w14:textId="7777777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(x)  Corporations established for promoting interests of members of minority community [Section 10(26BB)]</w:t>
      </w:r>
    </w:p>
    <w:p w14:paraId="71CBD161" w14:textId="2327E944"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(y)  Corporations established for the welfare and economic upliftment of ex-servicemen being the citizens of India</w:t>
      </w:r>
      <w:r w:rsidR="00CA67F2">
        <w:rPr>
          <w:sz w:val="22"/>
          <w:szCs w:val="22"/>
          <w:shd w:val="clear" w:color="auto" w:fill="FFFFFF"/>
        </w:rPr>
        <w:t xml:space="preserve"> </w:t>
      </w:r>
      <w:r w:rsidRPr="005C7627">
        <w:rPr>
          <w:sz w:val="22"/>
          <w:szCs w:val="22"/>
          <w:shd w:val="clear" w:color="auto" w:fill="FFFFFF"/>
        </w:rPr>
        <w:t>[Section 10(26BBB)]</w:t>
      </w:r>
    </w:p>
    <w:p w14:paraId="332C65A8" w14:textId="7777777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r w:rsidRPr="005C7627">
        <w:rPr>
          <w:sz w:val="22"/>
          <w:szCs w:val="22"/>
          <w:shd w:val="clear" w:color="auto" w:fill="FFFFFF"/>
        </w:rPr>
        <w:t>(z)  New Pension System Trust [Section 10(44)]</w:t>
      </w:r>
    </w:p>
    <w:p w14:paraId="624F91B8" w14:textId="77777777" w:rsidR="005C7627" w:rsidRPr="005C7627" w:rsidRDefault="005C7627" w:rsidP="005C7627">
      <w:pPr>
        <w:pStyle w:val="indent1"/>
        <w:shd w:val="clear" w:color="auto" w:fill="FFFFFF"/>
        <w:spacing w:before="0" w:beforeAutospacing="0" w:after="0" w:afterAutospacing="0"/>
        <w:ind w:left="568"/>
        <w:jc w:val="both"/>
        <w:rPr>
          <w:sz w:val="22"/>
          <w:szCs w:val="22"/>
          <w:shd w:val="clear" w:color="auto" w:fill="FFFFFF"/>
        </w:rPr>
      </w:pPr>
    </w:p>
    <w:p w14:paraId="7F6004C3" w14:textId="77777777" w:rsidR="00210444" w:rsidRPr="005C7627" w:rsidRDefault="00210444" w:rsidP="005C7627">
      <w:pPr>
        <w:pStyle w:val="indent1"/>
        <w:shd w:val="clear" w:color="auto" w:fill="FFFFFF"/>
        <w:spacing w:before="0" w:beforeAutospacing="0" w:after="0" w:afterAutospacing="0"/>
        <w:ind w:left="284"/>
        <w:jc w:val="both"/>
        <w:rPr>
          <w:sz w:val="22"/>
          <w:szCs w:val="22"/>
          <w:shd w:val="clear" w:color="auto" w:fill="FFFFFF"/>
        </w:rPr>
      </w:pPr>
      <w:r w:rsidRPr="005C7627">
        <w:rPr>
          <w:sz w:val="22"/>
          <w:szCs w:val="22"/>
          <w:shd w:val="clear" w:color="auto" w:fill="FFFFFF"/>
        </w:rPr>
        <w:t>This circular ensures that entities whose income is unconditionally exempt and who are not required to file returns are not subjected to TDS, streamlining the process and respecting their tax-exempt status.</w:t>
      </w:r>
    </w:p>
    <w:p w14:paraId="369AF3DF" w14:textId="77777777" w:rsidR="00210444" w:rsidRPr="005C7627" w:rsidRDefault="00210444" w:rsidP="00D749F5">
      <w:pPr>
        <w:pStyle w:val="indent1"/>
        <w:shd w:val="clear" w:color="auto" w:fill="FFFFFF"/>
        <w:spacing w:before="0" w:beforeAutospacing="0" w:after="0" w:afterAutospacing="0" w:line="276" w:lineRule="auto"/>
        <w:ind w:left="284" w:hanging="284"/>
        <w:jc w:val="both"/>
        <w:rPr>
          <w:b/>
          <w:bCs/>
          <w:sz w:val="22"/>
          <w:szCs w:val="22"/>
        </w:rPr>
      </w:pPr>
    </w:p>
    <w:p w14:paraId="5EC1DC0E" w14:textId="45877B91" w:rsidR="000E53E3" w:rsidRPr="005C7627" w:rsidRDefault="00256376" w:rsidP="00D749F5">
      <w:pPr>
        <w:pStyle w:val="indent1"/>
        <w:numPr>
          <w:ilvl w:val="1"/>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lastRenderedPageBreak/>
        <w:t xml:space="preserve">No </w:t>
      </w:r>
      <w:r w:rsidR="0055417E" w:rsidRPr="005C7627">
        <w:rPr>
          <w:b/>
          <w:bCs/>
          <w:sz w:val="22"/>
          <w:szCs w:val="22"/>
        </w:rPr>
        <w:t>TDS</w:t>
      </w:r>
      <w:r w:rsidRPr="005C7627">
        <w:rPr>
          <w:b/>
          <w:bCs/>
          <w:sz w:val="22"/>
          <w:szCs w:val="22"/>
        </w:rPr>
        <w:t xml:space="preserve"> under 194</w:t>
      </w:r>
      <w:r w:rsidR="00C50854" w:rsidRPr="005C7627">
        <w:rPr>
          <w:b/>
          <w:bCs/>
          <w:sz w:val="22"/>
          <w:szCs w:val="22"/>
        </w:rPr>
        <w:t>C</w:t>
      </w:r>
    </w:p>
    <w:p w14:paraId="145B6EB2" w14:textId="77777777" w:rsidR="00210444" w:rsidRPr="005C7627" w:rsidRDefault="00210444" w:rsidP="00D749F5">
      <w:pPr>
        <w:pStyle w:val="indent1"/>
        <w:shd w:val="clear" w:color="auto" w:fill="FFFFFF"/>
        <w:spacing w:before="0" w:beforeAutospacing="0" w:after="0" w:afterAutospacing="0" w:line="276" w:lineRule="auto"/>
        <w:ind w:left="284" w:hanging="284"/>
        <w:jc w:val="both"/>
        <w:rPr>
          <w:b/>
          <w:bCs/>
          <w:sz w:val="22"/>
          <w:szCs w:val="22"/>
        </w:rPr>
      </w:pPr>
    </w:p>
    <w:p w14:paraId="5D4A2139" w14:textId="77777777" w:rsidR="003C591B" w:rsidRPr="005C7627" w:rsidRDefault="003C591B" w:rsidP="00D749F5">
      <w:pPr>
        <w:pStyle w:val="indent1"/>
        <w:numPr>
          <w:ilvl w:val="4"/>
          <w:numId w:val="1"/>
        </w:numPr>
        <w:shd w:val="clear" w:color="auto" w:fill="FFFFFF"/>
        <w:spacing w:before="0" w:beforeAutospacing="0" w:after="0" w:afterAutospacing="0" w:line="276" w:lineRule="auto"/>
        <w:ind w:left="284" w:hanging="284"/>
        <w:jc w:val="both"/>
        <w:rPr>
          <w:sz w:val="22"/>
          <w:szCs w:val="22"/>
          <w:shd w:val="clear" w:color="auto" w:fill="FFFFFF"/>
        </w:rPr>
      </w:pPr>
      <w:r w:rsidRPr="005C7627">
        <w:rPr>
          <w:b/>
          <w:bCs/>
          <w:sz w:val="22"/>
          <w:szCs w:val="22"/>
          <w:shd w:val="clear" w:color="auto" w:fill="FFFFFF"/>
        </w:rPr>
        <w:t>Payment of Material</w:t>
      </w:r>
      <w:r w:rsidRPr="005C7627">
        <w:rPr>
          <w:sz w:val="22"/>
          <w:szCs w:val="22"/>
          <w:shd w:val="clear" w:color="auto" w:fill="FFFFFF"/>
        </w:rPr>
        <w:t xml:space="preserve"> – If any sum is required to be paid or credit for carrying out any work relating to manufacturing or supply of product as per the requirement or specification of a customer with the use of material supplied by such customer, tax shall be deducted:</w:t>
      </w:r>
    </w:p>
    <w:p w14:paraId="1A1C2B9E" w14:textId="77777777" w:rsidR="006E20DF" w:rsidRPr="005C7627" w:rsidRDefault="006E20DF" w:rsidP="006E20DF">
      <w:pPr>
        <w:pStyle w:val="indent1"/>
        <w:shd w:val="clear" w:color="auto" w:fill="FFFFFF"/>
        <w:spacing w:before="0" w:beforeAutospacing="0" w:after="0" w:afterAutospacing="0" w:line="276" w:lineRule="auto"/>
        <w:ind w:left="284"/>
        <w:jc w:val="both"/>
        <w:rPr>
          <w:sz w:val="22"/>
          <w:szCs w:val="22"/>
          <w:shd w:val="clear" w:color="auto" w:fill="FFFFFF"/>
        </w:rPr>
      </w:pPr>
    </w:p>
    <w:p w14:paraId="71C7BA36" w14:textId="77777777" w:rsidR="00B6355A" w:rsidRPr="005C7627" w:rsidRDefault="003C591B" w:rsidP="006E20DF">
      <w:pPr>
        <w:pStyle w:val="indent1"/>
        <w:numPr>
          <w:ilvl w:val="6"/>
          <w:numId w:val="1"/>
        </w:numPr>
        <w:shd w:val="clear" w:color="auto" w:fill="FFFFFF"/>
        <w:spacing w:before="0" w:beforeAutospacing="0" w:after="0" w:afterAutospacing="0" w:line="276" w:lineRule="auto"/>
        <w:ind w:left="567" w:hanging="283"/>
        <w:jc w:val="both"/>
        <w:rPr>
          <w:sz w:val="22"/>
          <w:szCs w:val="22"/>
          <w:shd w:val="clear" w:color="auto" w:fill="FFFFFF"/>
        </w:rPr>
      </w:pPr>
      <w:r w:rsidRPr="005C7627">
        <w:rPr>
          <w:sz w:val="22"/>
          <w:szCs w:val="22"/>
          <w:shd w:val="clear" w:color="auto" w:fill="FFFFFF"/>
        </w:rPr>
        <w:t>On the invoice value excluding the value of material, if value of material is mentioned separately in the invoice</w:t>
      </w:r>
    </w:p>
    <w:p w14:paraId="70072602" w14:textId="110E6F12" w:rsidR="003C591B" w:rsidRPr="005C7627" w:rsidRDefault="003C591B" w:rsidP="006E20DF">
      <w:pPr>
        <w:pStyle w:val="indent1"/>
        <w:numPr>
          <w:ilvl w:val="6"/>
          <w:numId w:val="1"/>
        </w:numPr>
        <w:shd w:val="clear" w:color="auto" w:fill="FFFFFF"/>
        <w:spacing w:before="0" w:beforeAutospacing="0" w:after="0" w:afterAutospacing="0" w:line="276" w:lineRule="auto"/>
        <w:ind w:left="567" w:hanging="283"/>
        <w:jc w:val="both"/>
        <w:rPr>
          <w:sz w:val="22"/>
          <w:szCs w:val="22"/>
          <w:shd w:val="clear" w:color="auto" w:fill="FFFFFF"/>
        </w:rPr>
      </w:pPr>
      <w:r w:rsidRPr="005C7627">
        <w:rPr>
          <w:sz w:val="22"/>
          <w:szCs w:val="22"/>
          <w:shd w:val="clear" w:color="auto" w:fill="FFFFFF"/>
        </w:rPr>
        <w:t>On the total value of invoice, if value of material is not mentioned separately in the invoice</w:t>
      </w:r>
    </w:p>
    <w:p w14:paraId="11347613" w14:textId="77777777" w:rsidR="00323F0E" w:rsidRPr="005C7627" w:rsidRDefault="00323F0E" w:rsidP="00D749F5">
      <w:pPr>
        <w:pStyle w:val="indent1"/>
        <w:shd w:val="clear" w:color="auto" w:fill="FFFFFF"/>
        <w:spacing w:before="0" w:beforeAutospacing="0" w:after="0" w:afterAutospacing="0" w:line="276" w:lineRule="auto"/>
        <w:ind w:left="284" w:hanging="284"/>
        <w:jc w:val="both"/>
        <w:rPr>
          <w:b/>
          <w:bCs/>
          <w:sz w:val="22"/>
          <w:szCs w:val="22"/>
        </w:rPr>
      </w:pPr>
    </w:p>
    <w:p w14:paraId="6AC9B16E" w14:textId="4D2C9219" w:rsidR="00256376" w:rsidRPr="005C7627" w:rsidRDefault="00CA1302" w:rsidP="00D749F5">
      <w:pPr>
        <w:pStyle w:val="indent1"/>
        <w:numPr>
          <w:ilvl w:val="4"/>
          <w:numId w:val="1"/>
        </w:numPr>
        <w:shd w:val="clear" w:color="auto" w:fill="FFFFFF"/>
        <w:spacing w:before="0" w:beforeAutospacing="0" w:after="0" w:afterAutospacing="0" w:line="276" w:lineRule="auto"/>
        <w:ind w:left="284" w:hanging="284"/>
        <w:jc w:val="both"/>
        <w:rPr>
          <w:sz w:val="22"/>
          <w:szCs w:val="22"/>
        </w:rPr>
      </w:pPr>
      <w:r w:rsidRPr="005C7627">
        <w:rPr>
          <w:b/>
          <w:bCs/>
          <w:sz w:val="22"/>
          <w:szCs w:val="22"/>
        </w:rPr>
        <w:t>Transactions in negotiable instruments</w:t>
      </w:r>
      <w:r w:rsidRPr="005C7627">
        <w:rPr>
          <w:sz w:val="22"/>
          <w:szCs w:val="22"/>
        </w:rPr>
        <w:t>: The provisions of section 194C would not apply in relation to payments made to banks for discounting bills collecting/receiving payments through cheques/drafts, opening and negotiating Letters of Credit and transactions in negotiable instruments. Case law referred - Associated Cement Co. Ltd. v. CIT [1993] 201 ITR 435. Circular: No. 681, dated 8-3-1994.</w:t>
      </w:r>
    </w:p>
    <w:p w14:paraId="5224D357" w14:textId="41ED977F" w:rsidR="00BE71FF" w:rsidRPr="005C7627" w:rsidRDefault="00366139"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Payments to airlines/travel agents</w:t>
      </w:r>
      <w:r w:rsidR="000A11B2" w:rsidRPr="005C7627">
        <w:rPr>
          <w:b/>
          <w:bCs/>
          <w:sz w:val="22"/>
          <w:szCs w:val="22"/>
        </w:rPr>
        <w:t xml:space="preserve">: </w:t>
      </w:r>
      <w:r w:rsidR="000A11B2" w:rsidRPr="005C7627">
        <w:rPr>
          <w:sz w:val="22"/>
          <w:szCs w:val="22"/>
        </w:rPr>
        <w:t>TDS do not apply to the payments made to the airlines or the travel agents for purchase of tickets for air travel of individuals.</w:t>
      </w:r>
      <w:r w:rsidR="005B684A" w:rsidRPr="005C7627">
        <w:rPr>
          <w:sz w:val="22"/>
          <w:szCs w:val="22"/>
        </w:rPr>
        <w:t xml:space="preserve"> Circular: No. 713, dated 2-8-1995.</w:t>
      </w:r>
    </w:p>
    <w:p w14:paraId="3D008E37" w14:textId="52D9AD2A" w:rsidR="005B684A" w:rsidRPr="005C7627" w:rsidRDefault="00F34801"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Payments to restaurants/cafes</w:t>
      </w:r>
      <w:r w:rsidRPr="005C7627">
        <w:rPr>
          <w:sz w:val="22"/>
          <w:szCs w:val="22"/>
        </w:rPr>
        <w:t> - TDS is not required to be made when payment is made for serving food in a restaurant in the normal course of running of the restaurant/cafe—Circular: No. 715, dated 8-8-1995.</w:t>
      </w:r>
    </w:p>
    <w:p w14:paraId="34B4C964" w14:textId="77777777" w:rsidR="00E272BC" w:rsidRPr="005C7627" w:rsidRDefault="00722890"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Reimbursement of actual expenses</w:t>
      </w:r>
      <w:r w:rsidRPr="005C7627">
        <w:rPr>
          <w:sz w:val="22"/>
          <w:szCs w:val="22"/>
        </w:rPr>
        <w:t> </w:t>
      </w:r>
      <w:r w:rsidR="002E25CE" w:rsidRPr="005C7627">
        <w:rPr>
          <w:sz w:val="22"/>
          <w:szCs w:val="22"/>
        </w:rPr>
        <w:t>–</w:t>
      </w:r>
      <w:r w:rsidR="00651387" w:rsidRPr="005C7627">
        <w:rPr>
          <w:sz w:val="22"/>
          <w:szCs w:val="22"/>
        </w:rPr>
        <w:t xml:space="preserve">Sections 194C and 194J refer to any sum paid. Hence, reimbursements cannot be deducted out of the bill amount for the purpose of tax deduction at source. However, where </w:t>
      </w:r>
      <w:r w:rsidR="00C41B40" w:rsidRPr="005C7627">
        <w:rPr>
          <w:sz w:val="22"/>
          <w:szCs w:val="22"/>
        </w:rPr>
        <w:t xml:space="preserve">expense </w:t>
      </w:r>
      <w:proofErr w:type="gramStart"/>
      <w:r w:rsidR="00C41B40" w:rsidRPr="005C7627">
        <w:rPr>
          <w:sz w:val="22"/>
          <w:szCs w:val="22"/>
        </w:rPr>
        <w:t>are</w:t>
      </w:r>
      <w:proofErr w:type="gramEnd"/>
      <w:r w:rsidR="00C41B40" w:rsidRPr="005C7627">
        <w:rPr>
          <w:sz w:val="22"/>
          <w:szCs w:val="22"/>
        </w:rPr>
        <w:t xml:space="preserve"> incurred on behalf of another party and the same are merely being reimbursed without raising any separate Invoice, TDS is not applicable.</w:t>
      </w:r>
      <w:r w:rsidR="00C41B40" w:rsidRPr="005C7627">
        <w:rPr>
          <w:b/>
          <w:bCs/>
          <w:sz w:val="22"/>
          <w:szCs w:val="22"/>
        </w:rPr>
        <w:t xml:space="preserve"> </w:t>
      </w:r>
    </w:p>
    <w:p w14:paraId="7A037896" w14:textId="77777777" w:rsidR="00E272BC" w:rsidRPr="005C7627" w:rsidRDefault="00E272BC" w:rsidP="00E272BC">
      <w:pPr>
        <w:pStyle w:val="indent1"/>
        <w:shd w:val="clear" w:color="auto" w:fill="FFFFFF"/>
        <w:spacing w:before="0" w:beforeAutospacing="0" w:after="0" w:afterAutospacing="0" w:line="276" w:lineRule="auto"/>
        <w:ind w:left="284"/>
        <w:jc w:val="both"/>
        <w:rPr>
          <w:b/>
          <w:bCs/>
          <w:sz w:val="22"/>
          <w:szCs w:val="22"/>
        </w:rPr>
      </w:pPr>
    </w:p>
    <w:p w14:paraId="35AE1EAA" w14:textId="07238DCC" w:rsidR="00C41B40" w:rsidRPr="005C7627" w:rsidRDefault="00C41B40" w:rsidP="00E272BC">
      <w:pPr>
        <w:pStyle w:val="indent1"/>
        <w:shd w:val="clear" w:color="auto" w:fill="FFFFFF"/>
        <w:spacing w:before="0" w:beforeAutospacing="0" w:after="0" w:afterAutospacing="0" w:line="276" w:lineRule="auto"/>
        <w:ind w:left="284"/>
        <w:jc w:val="both"/>
        <w:rPr>
          <w:b/>
          <w:bCs/>
          <w:sz w:val="22"/>
          <w:szCs w:val="22"/>
        </w:rPr>
      </w:pPr>
      <w:r w:rsidRPr="005C7627">
        <w:rPr>
          <w:b/>
          <w:bCs/>
          <w:sz w:val="22"/>
          <w:szCs w:val="22"/>
        </w:rPr>
        <w:t xml:space="preserve">Case reference: </w:t>
      </w:r>
    </w:p>
    <w:p w14:paraId="70A41495" w14:textId="61B69CE6" w:rsidR="00C41B40" w:rsidRPr="005C7627" w:rsidRDefault="00272E2D" w:rsidP="00E272BC">
      <w:pPr>
        <w:pStyle w:val="indent1"/>
        <w:numPr>
          <w:ilvl w:val="5"/>
          <w:numId w:val="1"/>
        </w:numPr>
        <w:shd w:val="clear" w:color="auto" w:fill="FFFFFF"/>
        <w:spacing w:before="0" w:beforeAutospacing="0" w:after="0" w:afterAutospacing="0" w:line="276" w:lineRule="auto"/>
        <w:ind w:left="567" w:hanging="283"/>
        <w:jc w:val="both"/>
        <w:rPr>
          <w:b/>
          <w:bCs/>
          <w:sz w:val="22"/>
          <w:szCs w:val="22"/>
        </w:rPr>
      </w:pPr>
      <w:r w:rsidRPr="005C7627">
        <w:rPr>
          <w:sz w:val="22"/>
          <w:szCs w:val="22"/>
        </w:rPr>
        <w:t>While reimbursing clearing and forwarding agents amount of freight charges paid by them on behalf of assessee, no TDS liability would arise [CIT v. Opera Global (P.) Ltd. </w:t>
      </w:r>
      <w:hyperlink r:id="rId11" w:history="1">
        <w:r w:rsidRPr="005C7627">
          <w:rPr>
            <w:rStyle w:val="Hyperlink"/>
            <w:sz w:val="22"/>
            <w:szCs w:val="22"/>
          </w:rPr>
          <w:t>[2014] 52 taxmann.com 299 (Delhi)</w:t>
        </w:r>
      </w:hyperlink>
      <w:r w:rsidRPr="005C7627">
        <w:rPr>
          <w:sz w:val="22"/>
          <w:szCs w:val="22"/>
        </w:rPr>
        <w:t>; Sima Agencies v. ITO </w:t>
      </w:r>
      <w:hyperlink r:id="rId12" w:history="1">
        <w:r w:rsidRPr="005C7627">
          <w:rPr>
            <w:rStyle w:val="Hyperlink"/>
            <w:sz w:val="22"/>
            <w:szCs w:val="22"/>
          </w:rPr>
          <w:t>[2021] 126 taxmann.com 109/279 Taxman 171 (Mad.)</w:t>
        </w:r>
      </w:hyperlink>
      <w:r w:rsidRPr="005C7627">
        <w:rPr>
          <w:sz w:val="22"/>
          <w:szCs w:val="22"/>
        </w:rPr>
        <w:t>; Zephyr Biomedicals v. JCIT </w:t>
      </w:r>
      <w:hyperlink r:id="rId13" w:history="1">
        <w:r w:rsidRPr="005C7627">
          <w:rPr>
            <w:rStyle w:val="Hyperlink"/>
            <w:sz w:val="22"/>
            <w:szCs w:val="22"/>
          </w:rPr>
          <w:t>[2020] 122 taxmann.com 124</w:t>
        </w:r>
      </w:hyperlink>
      <w:r w:rsidRPr="005C7627">
        <w:rPr>
          <w:sz w:val="22"/>
          <w:szCs w:val="22"/>
        </w:rPr>
        <w:t>/</w:t>
      </w:r>
      <w:hyperlink r:id="rId14" w:history="1">
        <w:r w:rsidRPr="005C7627">
          <w:rPr>
            <w:rStyle w:val="Hyperlink"/>
            <w:sz w:val="22"/>
            <w:szCs w:val="22"/>
          </w:rPr>
          <w:t>[2021] 276 Taxman 305 (Bom.)</w:t>
        </w:r>
      </w:hyperlink>
      <w:r w:rsidRPr="005C7627">
        <w:rPr>
          <w:sz w:val="22"/>
          <w:szCs w:val="22"/>
        </w:rPr>
        <w:t>]. </w:t>
      </w:r>
    </w:p>
    <w:p w14:paraId="3C341A2F" w14:textId="602B1A7D" w:rsidR="00752A77" w:rsidRPr="005C7627" w:rsidRDefault="00752A77" w:rsidP="00E272BC">
      <w:pPr>
        <w:pStyle w:val="indent1"/>
        <w:numPr>
          <w:ilvl w:val="5"/>
          <w:numId w:val="1"/>
        </w:numPr>
        <w:shd w:val="clear" w:color="auto" w:fill="FFFFFF"/>
        <w:spacing w:before="0" w:beforeAutospacing="0" w:after="0" w:afterAutospacing="0" w:line="276" w:lineRule="auto"/>
        <w:ind w:left="567" w:hanging="283"/>
        <w:jc w:val="both"/>
        <w:rPr>
          <w:b/>
          <w:bCs/>
          <w:sz w:val="22"/>
          <w:szCs w:val="22"/>
        </w:rPr>
      </w:pPr>
      <w:r w:rsidRPr="005C7627">
        <w:rPr>
          <w:sz w:val="22"/>
          <w:szCs w:val="22"/>
        </w:rPr>
        <w:t>Where seller sold goods to assessee (buyer) and under contract of sale, it was bound to send goods to buyer and to pay transportation charges to goods transport agency and assessee reimbursed freight component to seller and claimed deduction of same, assessee was not liable to deduct tax at source u/s 194C in respect of freight component [</w:t>
      </w:r>
      <w:proofErr w:type="spellStart"/>
      <w:r w:rsidRPr="005C7627">
        <w:rPr>
          <w:sz w:val="22"/>
          <w:szCs w:val="22"/>
        </w:rPr>
        <w:t>Hightension</w:t>
      </w:r>
      <w:proofErr w:type="spellEnd"/>
      <w:r w:rsidRPr="005C7627">
        <w:rPr>
          <w:sz w:val="22"/>
          <w:szCs w:val="22"/>
        </w:rPr>
        <w:t xml:space="preserve"> Switchgears (P.) Ltd. v. CIT [2016] 71 taxmann.com 207/240 Taxman 582 (Cal.)].</w:t>
      </w:r>
    </w:p>
    <w:p w14:paraId="1D29674B" w14:textId="77777777" w:rsidR="00E272BC" w:rsidRPr="005C7627" w:rsidRDefault="00E272BC" w:rsidP="00E272BC">
      <w:pPr>
        <w:pStyle w:val="indent1"/>
        <w:shd w:val="clear" w:color="auto" w:fill="FFFFFF"/>
        <w:spacing w:before="0" w:beforeAutospacing="0" w:after="0" w:afterAutospacing="0" w:line="276" w:lineRule="auto"/>
        <w:ind w:left="284"/>
        <w:jc w:val="both"/>
        <w:rPr>
          <w:b/>
          <w:bCs/>
          <w:sz w:val="22"/>
          <w:szCs w:val="22"/>
        </w:rPr>
      </w:pPr>
    </w:p>
    <w:p w14:paraId="1125B4E3" w14:textId="48F29420" w:rsidR="00194E62" w:rsidRPr="005C7627" w:rsidRDefault="00194E62"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Reimbursement to Employee for Catering Services</w:t>
      </w:r>
      <w:r w:rsidRPr="005C7627">
        <w:rPr>
          <w:sz w:val="22"/>
          <w:szCs w:val="22"/>
        </w:rPr>
        <w:t xml:space="preserve"> – The privity of the contract was between the employer (company) and the caterer. The employee acted as a disbursing agent on behalf of the company. The transaction is covered under Section 194C, thus tax withholding under Section 194C is attracted. The reimbursement to the employee should not involve any tax withholding in the hands of employee as it is a cost-only basis repayment.</w:t>
      </w:r>
    </w:p>
    <w:p w14:paraId="50327DE0" w14:textId="774C3EE6" w:rsidR="00E70A39" w:rsidRPr="005C7627" w:rsidRDefault="0048794F"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lastRenderedPageBreak/>
        <w:t xml:space="preserve">Octroi collection- </w:t>
      </w:r>
      <w:r w:rsidR="00E70A39" w:rsidRPr="005C7627">
        <w:rPr>
          <w:sz w:val="22"/>
          <w:szCs w:val="22"/>
        </w:rPr>
        <w:t>Where the assessee was awarded a contract by a municipal committee for collection of octroi, tax is deductible at source on the amount paid to the assessee by the municipal committee, and not on the amount of octroi collected by the assessee [S. S. &amp; Co., Octroi Contractors v. State of Punjab </w:t>
      </w:r>
      <w:hyperlink r:id="rId15" w:history="1">
        <w:r w:rsidR="00E70A39" w:rsidRPr="005C7627">
          <w:rPr>
            <w:rStyle w:val="Hyperlink"/>
            <w:sz w:val="22"/>
            <w:szCs w:val="22"/>
          </w:rPr>
          <w:t>[2004] 268 ITR 398 (P&amp;H)</w:t>
        </w:r>
      </w:hyperlink>
      <w:r w:rsidR="00E70A39" w:rsidRPr="005C7627">
        <w:rPr>
          <w:sz w:val="22"/>
          <w:szCs w:val="22"/>
        </w:rPr>
        <w:t>].</w:t>
      </w:r>
    </w:p>
    <w:p w14:paraId="3A4DD456" w14:textId="25D502BE" w:rsidR="00E70A39" w:rsidRPr="005C7627" w:rsidRDefault="00471D5D"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Licence fee -</w:t>
      </w:r>
      <w:r w:rsidRPr="005C7627">
        <w:rPr>
          <w:sz w:val="22"/>
          <w:szCs w:val="22"/>
        </w:rPr>
        <w:t xml:space="preserve"> Where assessee paid licence fee to IRCTC for granting contract of catering service without deducting tax at source and it has been held that it being a case of payment of licence fee by </w:t>
      </w:r>
      <w:proofErr w:type="spellStart"/>
      <w:r w:rsidRPr="005C7627">
        <w:rPr>
          <w:sz w:val="22"/>
          <w:szCs w:val="22"/>
        </w:rPr>
        <w:t>contractee</w:t>
      </w:r>
      <w:proofErr w:type="spellEnd"/>
      <w:r w:rsidRPr="005C7627">
        <w:rPr>
          <w:sz w:val="22"/>
          <w:szCs w:val="22"/>
        </w:rPr>
        <w:t xml:space="preserve"> to contractor, thus, section 194C would not apply [PCIT v. </w:t>
      </w:r>
      <w:proofErr w:type="spellStart"/>
      <w:r w:rsidRPr="005C7627">
        <w:rPr>
          <w:sz w:val="22"/>
          <w:szCs w:val="22"/>
        </w:rPr>
        <w:t>Hakmichand</w:t>
      </w:r>
      <w:proofErr w:type="spellEnd"/>
      <w:r w:rsidRPr="005C7627">
        <w:rPr>
          <w:sz w:val="22"/>
          <w:szCs w:val="22"/>
        </w:rPr>
        <w:t xml:space="preserve"> D &amp; Sons </w:t>
      </w:r>
      <w:hyperlink r:id="rId16" w:history="1">
        <w:r w:rsidRPr="005C7627">
          <w:rPr>
            <w:rStyle w:val="Hyperlink"/>
            <w:sz w:val="22"/>
            <w:szCs w:val="22"/>
          </w:rPr>
          <w:t>[2018] 97 taxmann.com 584/258 Taxman 207 (SC)</w:t>
        </w:r>
      </w:hyperlink>
      <w:r w:rsidRPr="005C7627">
        <w:rPr>
          <w:sz w:val="22"/>
          <w:szCs w:val="22"/>
        </w:rPr>
        <w:t>]</w:t>
      </w:r>
    </w:p>
    <w:p w14:paraId="62EA83D5" w14:textId="4C8A43BC" w:rsidR="00471D5D" w:rsidRPr="005C7627" w:rsidRDefault="00544ACF"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Damages -</w:t>
      </w:r>
      <w:r w:rsidRPr="005C7627">
        <w:rPr>
          <w:sz w:val="22"/>
          <w:szCs w:val="22"/>
        </w:rPr>
        <w:t> Amount paid by sub-contractor to main contractor on account of extra costs that main contractor had to incur due to delay in completion of work by sub-contractor was not liable to TDS u/s 194C [CIT v. </w:t>
      </w:r>
      <w:proofErr w:type="spellStart"/>
      <w:r w:rsidRPr="005C7627">
        <w:rPr>
          <w:sz w:val="22"/>
          <w:szCs w:val="22"/>
        </w:rPr>
        <w:t>Karnavati</w:t>
      </w:r>
      <w:proofErr w:type="spellEnd"/>
      <w:r w:rsidRPr="005C7627">
        <w:rPr>
          <w:sz w:val="22"/>
          <w:szCs w:val="22"/>
        </w:rPr>
        <w:t xml:space="preserve"> Infrastructure (P.) Ltd. </w:t>
      </w:r>
      <w:hyperlink r:id="rId17" w:history="1">
        <w:r w:rsidRPr="005C7627">
          <w:rPr>
            <w:rStyle w:val="Hyperlink"/>
            <w:sz w:val="22"/>
            <w:szCs w:val="22"/>
          </w:rPr>
          <w:t>[2015] 54 taxmann.com 246/229 Taxman 241 (Guj.)</w:t>
        </w:r>
      </w:hyperlink>
      <w:r w:rsidRPr="005C7627">
        <w:rPr>
          <w:sz w:val="22"/>
          <w:szCs w:val="22"/>
        </w:rPr>
        <w:t>].</w:t>
      </w:r>
    </w:p>
    <w:p w14:paraId="58F48A92" w14:textId="15D9C5D3" w:rsidR="00544ACF" w:rsidRPr="005C7627" w:rsidRDefault="003A20AC"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shd w:val="clear" w:color="auto" w:fill="FFFFFF"/>
        </w:rPr>
        <w:t>Minimum guarantee payments</w:t>
      </w:r>
      <w:r w:rsidRPr="005C7627">
        <w:rPr>
          <w:sz w:val="22"/>
          <w:szCs w:val="22"/>
          <w:shd w:val="clear" w:color="auto" w:fill="FFFFFF"/>
        </w:rPr>
        <w:t xml:space="preserve"> - Where assessee entered into merchant agreement with various hotels for facilitating reservation/booking of hotel rooms through platform of assessee, however, assessee was merely compensating shortfall pursuant to agreement and no work had been carried out, therefore, assessee would not be liable for TDS under section 194C on minimum </w:t>
      </w:r>
      <w:proofErr w:type="gramStart"/>
      <w:r w:rsidRPr="005C7627">
        <w:rPr>
          <w:sz w:val="22"/>
          <w:szCs w:val="22"/>
          <w:shd w:val="clear" w:color="auto" w:fill="FFFFFF"/>
        </w:rPr>
        <w:t>guarantee</w:t>
      </w:r>
      <w:proofErr w:type="gramEnd"/>
      <w:r w:rsidRPr="005C7627">
        <w:rPr>
          <w:sz w:val="22"/>
          <w:szCs w:val="22"/>
          <w:shd w:val="clear" w:color="auto" w:fill="FFFFFF"/>
        </w:rPr>
        <w:t xml:space="preserve"> payments made to hotels. </w:t>
      </w:r>
      <w:r w:rsidRPr="005C7627">
        <w:rPr>
          <w:b/>
          <w:bCs/>
          <w:sz w:val="22"/>
          <w:szCs w:val="22"/>
          <w:shd w:val="clear" w:color="auto" w:fill="FFFFFF"/>
        </w:rPr>
        <w:t>[</w:t>
      </w:r>
      <w:proofErr w:type="spellStart"/>
      <w:r w:rsidRPr="005C7627">
        <w:rPr>
          <w:b/>
          <w:bCs/>
          <w:sz w:val="22"/>
          <w:szCs w:val="22"/>
        </w:rPr>
        <w:t>Oravel</w:t>
      </w:r>
      <w:proofErr w:type="spellEnd"/>
      <w:r w:rsidRPr="005C7627">
        <w:rPr>
          <w:b/>
          <w:bCs/>
          <w:sz w:val="22"/>
          <w:szCs w:val="22"/>
        </w:rPr>
        <w:t xml:space="preserve"> Stays (P.) Ltd. v. Assistant Commissioner of Income-tax, Special Range-7, [2024] 159 taxmann.com 423 (Delhi - Trib.)]</w:t>
      </w:r>
    </w:p>
    <w:p w14:paraId="779780E6" w14:textId="77777777" w:rsidR="000266C1" w:rsidRPr="005C7627" w:rsidRDefault="000266C1"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shd w:val="clear" w:color="auto" w:fill="FFFFFF"/>
        </w:rPr>
        <w:t>External development charges</w:t>
      </w:r>
      <w:r w:rsidRPr="005C7627">
        <w:rPr>
          <w:sz w:val="22"/>
          <w:szCs w:val="22"/>
          <w:shd w:val="clear" w:color="auto" w:fill="FFFFFF"/>
        </w:rPr>
        <w:t xml:space="preserve"> (EDC) paid by assessee-society to development authority (GMADA), as per policy decision of government and not out of contractual obligations, would not attract section 194C. [Punjab IAS &amp; PCS Officers House Building Society Ltd. v. Income-tax Officer, [2024] 158 taxmann.com 293 (Chandigarh - Trib.)]</w:t>
      </w:r>
    </w:p>
    <w:p w14:paraId="396A405E" w14:textId="5B13186D" w:rsidR="00752A77" w:rsidRPr="005C7627" w:rsidRDefault="003A6C0B"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Contract Manufacturing on principal-to-principal basis:</w:t>
      </w:r>
      <w:r w:rsidRPr="005C7627">
        <w:rPr>
          <w:sz w:val="22"/>
          <w:szCs w:val="22"/>
        </w:rPr>
        <w:t xml:space="preserve"> mere specifications-oriented manufacturing does not vitiate the nature of the contract for sale. If the contract manufacturer supplies goods to ICo on a principal-to-principal basis, where the title in the goods passes to ICo on delivery, Section 194C would not apply.</w:t>
      </w:r>
    </w:p>
    <w:p w14:paraId="504A189D" w14:textId="77777777" w:rsidR="00953E99" w:rsidRPr="005C7627" w:rsidRDefault="00953E99" w:rsidP="00D749F5">
      <w:pPr>
        <w:pStyle w:val="indent1"/>
        <w:shd w:val="clear" w:color="auto" w:fill="FFFFFF"/>
        <w:spacing w:before="0" w:beforeAutospacing="0" w:after="0" w:afterAutospacing="0" w:line="276" w:lineRule="auto"/>
        <w:ind w:left="284" w:hanging="284"/>
        <w:jc w:val="both"/>
        <w:rPr>
          <w:b/>
          <w:bCs/>
          <w:sz w:val="22"/>
          <w:szCs w:val="22"/>
        </w:rPr>
      </w:pPr>
    </w:p>
    <w:p w14:paraId="2EEC25D4" w14:textId="03865A30" w:rsidR="00E24789" w:rsidRPr="005C7627" w:rsidRDefault="00E24789" w:rsidP="00D749F5">
      <w:pPr>
        <w:pStyle w:val="indent1"/>
        <w:numPr>
          <w:ilvl w:val="1"/>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No tds under 194</w:t>
      </w:r>
      <w:r w:rsidR="00C056FF" w:rsidRPr="005C7627">
        <w:rPr>
          <w:b/>
          <w:bCs/>
          <w:sz w:val="22"/>
          <w:szCs w:val="22"/>
        </w:rPr>
        <w:t>J</w:t>
      </w:r>
    </w:p>
    <w:p w14:paraId="3473F87A" w14:textId="77777777" w:rsidR="00E24789" w:rsidRPr="005C7627" w:rsidRDefault="00E24789" w:rsidP="00D749F5">
      <w:pPr>
        <w:pStyle w:val="indent1"/>
        <w:shd w:val="clear" w:color="auto" w:fill="FFFFFF"/>
        <w:spacing w:before="0" w:beforeAutospacing="0" w:after="0" w:afterAutospacing="0" w:line="276" w:lineRule="auto"/>
        <w:ind w:left="284" w:hanging="284"/>
        <w:jc w:val="both"/>
        <w:rPr>
          <w:b/>
          <w:bCs/>
          <w:sz w:val="22"/>
          <w:szCs w:val="22"/>
        </w:rPr>
      </w:pPr>
    </w:p>
    <w:p w14:paraId="60103E94" w14:textId="77777777" w:rsidR="00E24789" w:rsidRPr="005C7627" w:rsidRDefault="00E24789" w:rsidP="00D749F5">
      <w:pPr>
        <w:pStyle w:val="indent1"/>
        <w:shd w:val="clear" w:color="auto" w:fill="FFFFFF"/>
        <w:spacing w:before="0" w:beforeAutospacing="0" w:after="0" w:afterAutospacing="0" w:line="276" w:lineRule="auto"/>
        <w:ind w:left="284" w:hanging="284"/>
        <w:jc w:val="both"/>
        <w:rPr>
          <w:b/>
          <w:bCs/>
          <w:sz w:val="22"/>
          <w:szCs w:val="22"/>
        </w:rPr>
      </w:pPr>
      <w:r w:rsidRPr="005C7627">
        <w:rPr>
          <w:b/>
          <w:bCs/>
          <w:sz w:val="22"/>
          <w:szCs w:val="22"/>
        </w:rPr>
        <w:t>Illustrative transactions:</w:t>
      </w:r>
    </w:p>
    <w:p w14:paraId="7D929ECF" w14:textId="77777777" w:rsidR="00C056FF" w:rsidRPr="005C7627" w:rsidRDefault="00C056FF" w:rsidP="00D749F5">
      <w:pPr>
        <w:pStyle w:val="indent1"/>
        <w:shd w:val="clear" w:color="auto" w:fill="FFFFFF"/>
        <w:spacing w:before="0" w:beforeAutospacing="0" w:after="0" w:afterAutospacing="0" w:line="276" w:lineRule="auto"/>
        <w:ind w:left="284" w:hanging="284"/>
        <w:jc w:val="both"/>
        <w:rPr>
          <w:b/>
          <w:bCs/>
          <w:sz w:val="22"/>
          <w:szCs w:val="22"/>
        </w:rPr>
      </w:pPr>
    </w:p>
    <w:p w14:paraId="0B6BE62C" w14:textId="111D420E" w:rsidR="00815641" w:rsidRPr="005C7627" w:rsidRDefault="00690245"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 xml:space="preserve">TDS on </w:t>
      </w:r>
      <w:r w:rsidR="00C9624B" w:rsidRPr="005C7627">
        <w:rPr>
          <w:b/>
          <w:bCs/>
          <w:sz w:val="22"/>
          <w:szCs w:val="22"/>
        </w:rPr>
        <w:t>S</w:t>
      </w:r>
      <w:r w:rsidR="00815641" w:rsidRPr="005C7627">
        <w:rPr>
          <w:b/>
          <w:bCs/>
          <w:sz w:val="22"/>
          <w:szCs w:val="22"/>
        </w:rPr>
        <w:t>ervice tax</w:t>
      </w:r>
      <w:r w:rsidR="00C9624B" w:rsidRPr="005C7627">
        <w:rPr>
          <w:b/>
          <w:bCs/>
          <w:sz w:val="22"/>
          <w:szCs w:val="22"/>
        </w:rPr>
        <w:t>/ GST</w:t>
      </w:r>
      <w:r w:rsidRPr="005C7627">
        <w:rPr>
          <w:sz w:val="22"/>
          <w:szCs w:val="22"/>
        </w:rPr>
        <w:t>- TDS is not applicable on Service tax or any other Indirect component. The Board had issued a Circular No. 4/2008, dated 28-4-2008</w:t>
      </w:r>
      <w:r w:rsidR="005F3A52" w:rsidRPr="005C7627">
        <w:rPr>
          <w:sz w:val="22"/>
          <w:szCs w:val="22"/>
        </w:rPr>
        <w:t>.</w:t>
      </w:r>
      <w:r w:rsidR="00C9624B" w:rsidRPr="005C7627">
        <w:rPr>
          <w:b/>
          <w:bCs/>
          <w:sz w:val="22"/>
          <w:szCs w:val="22"/>
        </w:rPr>
        <w:t xml:space="preserve"> </w:t>
      </w:r>
      <w:r w:rsidR="00C9624B" w:rsidRPr="005C7627">
        <w:rPr>
          <w:sz w:val="22"/>
          <w:szCs w:val="22"/>
        </w:rPr>
        <w:t>Further, a</w:t>
      </w:r>
      <w:r w:rsidR="00815641" w:rsidRPr="005C7627">
        <w:rPr>
          <w:sz w:val="22"/>
          <w:szCs w:val="22"/>
        </w:rPr>
        <w:t>ny reference to 'service tax' in an existing agreement or contract which was entered prior to 1-7-2017 shall he treated as 'GST on services' with respect to the period from 1-7-2017 onward till the expiry of such agreement or contract. - Circular No. 23/2017, dated 19-7-2017.</w:t>
      </w:r>
    </w:p>
    <w:p w14:paraId="6B6E5E28" w14:textId="6D14BE28" w:rsidR="006B0EBC" w:rsidRPr="005C7627" w:rsidRDefault="002A0A7D"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Mobile data utilisation - </w:t>
      </w:r>
      <w:r w:rsidRPr="005C7627">
        <w:rPr>
          <w:sz w:val="22"/>
          <w:szCs w:val="22"/>
        </w:rPr>
        <w:t>Payment made by assessee, a mobile service provider company, to another mobile service provider Company for utilization of roaming mobile data and connectivity could not be termed as technical service [CIT v. Vodafone South Ltd. </w:t>
      </w:r>
      <w:hyperlink r:id="rId18" w:history="1">
        <w:r w:rsidRPr="005C7627">
          <w:rPr>
            <w:rStyle w:val="Hyperlink"/>
            <w:sz w:val="22"/>
            <w:szCs w:val="22"/>
          </w:rPr>
          <w:t>[2016] 72 taxmann.com 347/241 Taxman 497 (Kar.)</w:t>
        </w:r>
      </w:hyperlink>
      <w:r w:rsidRPr="005C7627">
        <w:rPr>
          <w:sz w:val="22"/>
          <w:szCs w:val="22"/>
        </w:rPr>
        <w:t>, </w:t>
      </w:r>
      <w:r w:rsidRPr="005C7627">
        <w:rPr>
          <w:b/>
          <w:bCs/>
          <w:sz w:val="22"/>
          <w:szCs w:val="22"/>
        </w:rPr>
        <w:t>followed in</w:t>
      </w:r>
      <w:r w:rsidRPr="005C7627">
        <w:rPr>
          <w:sz w:val="22"/>
          <w:szCs w:val="22"/>
        </w:rPr>
        <w:t> CIT v. Tata Teleservices Ltd. </w:t>
      </w:r>
      <w:hyperlink r:id="rId19" w:history="1">
        <w:r w:rsidRPr="005C7627">
          <w:rPr>
            <w:rStyle w:val="Hyperlink"/>
            <w:sz w:val="22"/>
            <w:szCs w:val="22"/>
          </w:rPr>
          <w:t>[2022] 142 taxmann.com 51/288 Taxman 775 (Delhi)</w:t>
        </w:r>
      </w:hyperlink>
      <w:r w:rsidRPr="005C7627">
        <w:rPr>
          <w:sz w:val="22"/>
          <w:szCs w:val="22"/>
        </w:rPr>
        <w:t>]. Services rendered by MTNL/other companies via interconnect/port access cannot be regarded as technical services as contemplated by section 194J [CIT v. Bharti Cellular Ltd. </w:t>
      </w:r>
      <w:hyperlink r:id="rId20" w:history="1">
        <w:r w:rsidRPr="005C7627">
          <w:rPr>
            <w:rStyle w:val="Hyperlink"/>
            <w:sz w:val="22"/>
            <w:szCs w:val="22"/>
          </w:rPr>
          <w:t>[2008] 175 Taxman 573 (Delhi)</w:t>
        </w:r>
      </w:hyperlink>
      <w:r w:rsidRPr="005C7627">
        <w:rPr>
          <w:sz w:val="22"/>
          <w:szCs w:val="22"/>
        </w:rPr>
        <w:t>].</w:t>
      </w:r>
    </w:p>
    <w:p w14:paraId="0F8B3CC6" w14:textId="7C9CDB12" w:rsidR="00F763FF" w:rsidRPr="005C7627" w:rsidRDefault="00F763FF"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lastRenderedPageBreak/>
        <w:t>Telephone services -</w:t>
      </w:r>
      <w:r w:rsidRPr="005C7627">
        <w:rPr>
          <w:sz w:val="22"/>
          <w:szCs w:val="22"/>
        </w:rPr>
        <w:t xml:space="preserve"> When a person decides to subscribe to a cellular telephone service </w:t>
      </w:r>
      <w:proofErr w:type="gramStart"/>
      <w:r w:rsidRPr="005C7627">
        <w:rPr>
          <w:sz w:val="22"/>
          <w:szCs w:val="22"/>
        </w:rPr>
        <w:t>in order to</w:t>
      </w:r>
      <w:proofErr w:type="gramEnd"/>
      <w:r w:rsidRPr="005C7627">
        <w:rPr>
          <w:sz w:val="22"/>
          <w:szCs w:val="22"/>
        </w:rPr>
        <w:t xml:space="preserve"> have the facility of being able to communicate with others, he does not contract to receive a technical service. What he does agree is to pay for the use of the airtime for which he pays a charge. What applies to cellular mobile telephone is also applicable to fixed telephone service. Neither service can be regarded as 'technical service' for the purpose of section 194J [</w:t>
      </w:r>
      <w:proofErr w:type="spellStart"/>
      <w:r w:rsidRPr="005C7627">
        <w:rPr>
          <w:sz w:val="22"/>
          <w:szCs w:val="22"/>
        </w:rPr>
        <w:t>Skycell</w:t>
      </w:r>
      <w:proofErr w:type="spellEnd"/>
      <w:r w:rsidRPr="005C7627">
        <w:rPr>
          <w:sz w:val="22"/>
          <w:szCs w:val="22"/>
        </w:rPr>
        <w:t xml:space="preserve"> Communications Ltd. v. DCIT </w:t>
      </w:r>
      <w:hyperlink r:id="rId21" w:history="1">
        <w:r w:rsidRPr="005C7627">
          <w:rPr>
            <w:rStyle w:val="Hyperlink"/>
            <w:sz w:val="22"/>
            <w:szCs w:val="22"/>
          </w:rPr>
          <w:t>[2001] 119 Taxman 496/251 ITR 53 (Mad.)</w:t>
        </w:r>
      </w:hyperlink>
      <w:r w:rsidRPr="005C7627">
        <w:rPr>
          <w:sz w:val="22"/>
          <w:szCs w:val="22"/>
        </w:rPr>
        <w:t>].</w:t>
      </w:r>
    </w:p>
    <w:p w14:paraId="5B2065AC" w14:textId="05725DF5" w:rsidR="002A0A7D" w:rsidRPr="005C7627" w:rsidRDefault="00CB4F36"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Stock exchange service -</w:t>
      </w:r>
      <w:r w:rsidRPr="005C7627">
        <w:rPr>
          <w:sz w:val="22"/>
          <w:szCs w:val="22"/>
        </w:rPr>
        <w:t> Services made available by Bombay Stock Exchange [BSE Online Trading (BOLT) System] for which transaction charges are paid by members of BSE are common services that every member of Stock Exchange is necessarily required to avail of to carry out trading in securities in stock exchange; such services do not amount to 'technical services' provided by stock exchange, not being services specifically sought for by user or consumer and, therefore, no TDS would be deductible u/s 194J on payments made for such services [CIT v. Kotak Securities Ltd. </w:t>
      </w:r>
      <w:hyperlink r:id="rId22" w:history="1">
        <w:r w:rsidRPr="005C7627">
          <w:rPr>
            <w:rStyle w:val="Hyperlink"/>
            <w:sz w:val="22"/>
            <w:szCs w:val="22"/>
          </w:rPr>
          <w:t>[2016] 67 taxmann.com 356/239 Taxman 139 (SC)</w:t>
        </w:r>
      </w:hyperlink>
      <w:r w:rsidRPr="005C7627">
        <w:rPr>
          <w:sz w:val="22"/>
          <w:szCs w:val="22"/>
        </w:rPr>
        <w:t>].</w:t>
      </w:r>
    </w:p>
    <w:p w14:paraId="6245C1A5" w14:textId="77777777" w:rsidR="00F04443" w:rsidRPr="005C7627" w:rsidRDefault="00F04443" w:rsidP="00D749F5">
      <w:pPr>
        <w:pStyle w:val="indent1"/>
        <w:shd w:val="clear" w:color="auto" w:fill="FFFFFF"/>
        <w:spacing w:before="0" w:beforeAutospacing="0" w:after="0" w:afterAutospacing="0" w:line="276" w:lineRule="auto"/>
        <w:ind w:left="284" w:hanging="284"/>
        <w:jc w:val="both"/>
        <w:rPr>
          <w:b/>
          <w:bCs/>
          <w:sz w:val="22"/>
          <w:szCs w:val="22"/>
        </w:rPr>
      </w:pPr>
    </w:p>
    <w:p w14:paraId="5A51F586" w14:textId="3515411C" w:rsidR="00F04443" w:rsidRPr="005C7627" w:rsidRDefault="00F04443" w:rsidP="00D749F5">
      <w:pPr>
        <w:pStyle w:val="indent1"/>
        <w:numPr>
          <w:ilvl w:val="1"/>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No tds under 194H</w:t>
      </w:r>
    </w:p>
    <w:p w14:paraId="5EAAB627" w14:textId="77777777" w:rsidR="00F04443" w:rsidRPr="005C7627" w:rsidRDefault="00F04443" w:rsidP="00D749F5">
      <w:pPr>
        <w:pStyle w:val="indent1"/>
        <w:shd w:val="clear" w:color="auto" w:fill="FFFFFF"/>
        <w:spacing w:before="0" w:beforeAutospacing="0" w:after="0" w:afterAutospacing="0" w:line="276" w:lineRule="auto"/>
        <w:ind w:left="284" w:hanging="284"/>
        <w:jc w:val="both"/>
        <w:rPr>
          <w:b/>
          <w:bCs/>
          <w:sz w:val="22"/>
          <w:szCs w:val="22"/>
        </w:rPr>
      </w:pPr>
    </w:p>
    <w:p w14:paraId="2F20668C" w14:textId="36CFD853" w:rsidR="00CB4F36" w:rsidRPr="005C7627" w:rsidRDefault="00F04443"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Turnover Commission payable by RBI to Agency Banks</w:t>
      </w:r>
      <w:r w:rsidRPr="005C7627">
        <w:rPr>
          <w:sz w:val="22"/>
          <w:szCs w:val="22"/>
        </w:rPr>
        <w:t> - Requirement of tax deduction at source under section 194H is not applicable in respect of Turnover Commission payable by the Reserve Bank of India to the Agency Banks (Banks authorized for conducting Government business) for performing the general banking business of the Central and State Governments on behalf of RBI - </w:t>
      </w:r>
      <w:proofErr w:type="gramStart"/>
      <w:r w:rsidRPr="005C7627">
        <w:rPr>
          <w:sz w:val="22"/>
          <w:szCs w:val="22"/>
        </w:rPr>
        <w:t>Circular :</w:t>
      </w:r>
      <w:proofErr w:type="gramEnd"/>
      <w:r w:rsidRPr="005C7627">
        <w:rPr>
          <w:sz w:val="22"/>
          <w:szCs w:val="22"/>
        </w:rPr>
        <w:t xml:space="preserve"> No. 6/2003, dated 3-9-2003.</w:t>
      </w:r>
    </w:p>
    <w:p w14:paraId="4BEDD899" w14:textId="77777777" w:rsidR="003B0C18" w:rsidRPr="005C7627" w:rsidRDefault="003B0C18" w:rsidP="00D749F5">
      <w:pPr>
        <w:pStyle w:val="indent1"/>
        <w:shd w:val="clear" w:color="auto" w:fill="FFFFFF"/>
        <w:spacing w:before="0" w:beforeAutospacing="0" w:after="0" w:afterAutospacing="0" w:line="276" w:lineRule="auto"/>
        <w:ind w:left="284" w:hanging="284"/>
        <w:jc w:val="both"/>
        <w:rPr>
          <w:b/>
          <w:bCs/>
          <w:sz w:val="22"/>
          <w:szCs w:val="22"/>
        </w:rPr>
      </w:pPr>
    </w:p>
    <w:p w14:paraId="6AC8EF89" w14:textId="01379222" w:rsidR="0021588E" w:rsidRPr="005C7627" w:rsidRDefault="0021588E"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Credit card purchases -</w:t>
      </w:r>
      <w:r w:rsidRPr="005C7627">
        <w:rPr>
          <w:sz w:val="22"/>
          <w:szCs w:val="22"/>
        </w:rPr>
        <w:t> Commission to bank on payments received from customers who had made purchases through credit cards is not liable to TDS [CIT v. JSD Apparels (P.) Ltd. </w:t>
      </w:r>
      <w:hyperlink r:id="rId23" w:history="1">
        <w:r w:rsidRPr="005C7627">
          <w:rPr>
            <w:rStyle w:val="Hyperlink"/>
            <w:sz w:val="22"/>
            <w:szCs w:val="22"/>
          </w:rPr>
          <w:t>[2015] 53 taxmann.com 139 (Delhi)</w:t>
        </w:r>
      </w:hyperlink>
      <w:r w:rsidRPr="005C7627">
        <w:rPr>
          <w:sz w:val="22"/>
          <w:szCs w:val="22"/>
        </w:rPr>
        <w:t>].</w:t>
      </w:r>
    </w:p>
    <w:p w14:paraId="2DF593A5" w14:textId="77777777" w:rsidR="004B2B87" w:rsidRPr="005C7627" w:rsidRDefault="004B2B87" w:rsidP="00D749F5">
      <w:pPr>
        <w:pStyle w:val="ListParagraph"/>
        <w:ind w:left="284" w:hanging="284"/>
        <w:rPr>
          <w:rFonts w:ascii="Times New Roman" w:hAnsi="Times New Roman" w:cs="Times New Roman"/>
          <w:b/>
          <w:bCs/>
          <w:szCs w:val="22"/>
        </w:rPr>
      </w:pPr>
    </w:p>
    <w:p w14:paraId="7EE18D45" w14:textId="02881B12" w:rsidR="004B2B87" w:rsidRPr="005C7627" w:rsidRDefault="004B2B87" w:rsidP="00D749F5">
      <w:pPr>
        <w:pStyle w:val="indent1"/>
        <w:numPr>
          <w:ilvl w:val="4"/>
          <w:numId w:val="1"/>
        </w:numPr>
        <w:shd w:val="clear" w:color="auto" w:fill="FFFFFF"/>
        <w:spacing w:before="0" w:beforeAutospacing="0" w:after="0" w:afterAutospacing="0" w:line="276" w:lineRule="auto"/>
        <w:ind w:left="284" w:hanging="284"/>
        <w:jc w:val="both"/>
        <w:rPr>
          <w:sz w:val="22"/>
          <w:szCs w:val="22"/>
        </w:rPr>
      </w:pPr>
      <w:r w:rsidRPr="005C7627">
        <w:rPr>
          <w:b/>
          <w:bCs/>
          <w:sz w:val="22"/>
          <w:szCs w:val="22"/>
        </w:rPr>
        <w:t xml:space="preserve">Debit/ Credit card charges: </w:t>
      </w:r>
      <w:r w:rsidRPr="005C7627">
        <w:rPr>
          <w:sz w:val="22"/>
          <w:szCs w:val="22"/>
        </w:rPr>
        <w:t>Tax is not required to be deducted under S. 194H on the debit/credit card charges. This supported by judicial precedents and Notification No. 56/2012 dated 31 December 2012 issued by Central Government.</w:t>
      </w:r>
    </w:p>
    <w:p w14:paraId="2CEFA91D" w14:textId="77777777" w:rsidR="003B0C18" w:rsidRPr="005C7627" w:rsidRDefault="003B0C18" w:rsidP="00D749F5">
      <w:pPr>
        <w:pStyle w:val="indent1"/>
        <w:shd w:val="clear" w:color="auto" w:fill="FFFFFF"/>
        <w:spacing w:before="0" w:beforeAutospacing="0" w:after="0" w:afterAutospacing="0" w:line="276" w:lineRule="auto"/>
        <w:ind w:left="284" w:hanging="284"/>
        <w:jc w:val="both"/>
        <w:rPr>
          <w:b/>
          <w:bCs/>
          <w:sz w:val="22"/>
          <w:szCs w:val="22"/>
        </w:rPr>
      </w:pPr>
    </w:p>
    <w:p w14:paraId="5268AB18" w14:textId="24E98067" w:rsidR="00607CE4" w:rsidRPr="005C7627" w:rsidRDefault="00104559"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Trade Discounts &amp; Sales Incentives:</w:t>
      </w:r>
      <w:r w:rsidR="00607CE4" w:rsidRPr="005C7627">
        <w:rPr>
          <w:b/>
          <w:bCs/>
          <w:sz w:val="22"/>
          <w:szCs w:val="22"/>
        </w:rPr>
        <w:t xml:space="preserve"> </w:t>
      </w:r>
      <w:r w:rsidR="00607CE4" w:rsidRPr="005C7627">
        <w:rPr>
          <w:sz w:val="22"/>
          <w:szCs w:val="22"/>
        </w:rPr>
        <w:t xml:space="preserve">In </w:t>
      </w:r>
      <w:r w:rsidR="00607CE4" w:rsidRPr="005C7627">
        <w:rPr>
          <w:b/>
          <w:bCs/>
          <w:sz w:val="22"/>
          <w:szCs w:val="22"/>
        </w:rPr>
        <w:t>Gujarat Tea Processors &amp; Packers Ltd. v. DCIT [2012] 28 taxmann.com 187 (Guj.)</w:t>
      </w:r>
      <w:r w:rsidR="00607CE4" w:rsidRPr="005C7627">
        <w:rPr>
          <w:sz w:val="22"/>
          <w:szCs w:val="22"/>
        </w:rPr>
        <w:t xml:space="preserve">, it was held that </w:t>
      </w:r>
      <w:r w:rsidR="00607CE4" w:rsidRPr="005C7627">
        <w:rPr>
          <w:b/>
          <w:bCs/>
          <w:sz w:val="22"/>
          <w:szCs w:val="22"/>
        </w:rPr>
        <w:t>trade discounts given by a manufacturer/seller to a retailer under a sales promotion scheme do not attract TDS under Section 194H</w:t>
      </w:r>
      <w:r w:rsidR="00607CE4" w:rsidRPr="005C7627">
        <w:rPr>
          <w:sz w:val="22"/>
          <w:szCs w:val="22"/>
        </w:rPr>
        <w:t xml:space="preserve"> as they do not constitute commission.</w:t>
      </w:r>
    </w:p>
    <w:p w14:paraId="6FD9B39A" w14:textId="77777777" w:rsidR="00607CE4" w:rsidRPr="005C7627" w:rsidRDefault="00607CE4" w:rsidP="00D749F5">
      <w:pPr>
        <w:pStyle w:val="indent1"/>
        <w:shd w:val="clear" w:color="auto" w:fill="FFFFFF"/>
        <w:spacing w:before="0" w:beforeAutospacing="0" w:after="0" w:afterAutospacing="0" w:line="276" w:lineRule="auto"/>
        <w:ind w:left="284" w:hanging="284"/>
        <w:jc w:val="both"/>
        <w:rPr>
          <w:b/>
          <w:bCs/>
          <w:sz w:val="22"/>
          <w:szCs w:val="22"/>
        </w:rPr>
      </w:pPr>
    </w:p>
    <w:p w14:paraId="2909667D" w14:textId="14788D84" w:rsidR="00607CE4" w:rsidRPr="005C7627" w:rsidRDefault="00607CE4" w:rsidP="00D749F5">
      <w:pPr>
        <w:pStyle w:val="indent1"/>
        <w:shd w:val="clear" w:color="auto" w:fill="FFFFFF"/>
        <w:spacing w:before="0" w:beforeAutospacing="0" w:after="0" w:afterAutospacing="0" w:line="276" w:lineRule="auto"/>
        <w:ind w:left="284" w:hanging="284"/>
        <w:jc w:val="both"/>
        <w:rPr>
          <w:b/>
          <w:bCs/>
          <w:sz w:val="22"/>
          <w:szCs w:val="22"/>
        </w:rPr>
      </w:pPr>
      <w:r w:rsidRPr="005C7627">
        <w:rPr>
          <w:b/>
          <w:bCs/>
          <w:sz w:val="22"/>
          <w:szCs w:val="22"/>
        </w:rPr>
        <w:t>Trade discount</w:t>
      </w:r>
      <w:r w:rsidRPr="005C7627">
        <w:rPr>
          <w:sz w:val="22"/>
          <w:szCs w:val="22"/>
        </w:rPr>
        <w:t xml:space="preserve"> given by newspaper agencies to advertising agencies working for advertisers is not in nature of commission [Jagran Prakashan Ltd. v. DCIT </w:t>
      </w:r>
      <w:hyperlink r:id="rId24" w:history="1">
        <w:r w:rsidRPr="005C7627">
          <w:rPr>
            <w:rStyle w:val="Hyperlink"/>
            <w:sz w:val="22"/>
            <w:szCs w:val="22"/>
          </w:rPr>
          <w:t>[2012] 21 taxmann.com 489/209 Taxman 92 (All.)</w:t>
        </w:r>
      </w:hyperlink>
      <w:r w:rsidRPr="005C7627">
        <w:rPr>
          <w:sz w:val="22"/>
          <w:szCs w:val="22"/>
        </w:rPr>
        <w:t>; PCIT v. </w:t>
      </w:r>
      <w:proofErr w:type="spellStart"/>
      <w:r w:rsidRPr="005C7627">
        <w:rPr>
          <w:sz w:val="22"/>
          <w:szCs w:val="22"/>
        </w:rPr>
        <w:t>Dempo</w:t>
      </w:r>
      <w:proofErr w:type="spellEnd"/>
      <w:r w:rsidRPr="005C7627">
        <w:rPr>
          <w:sz w:val="22"/>
          <w:szCs w:val="22"/>
        </w:rPr>
        <w:t xml:space="preserve"> Industries (P.) Ltd. </w:t>
      </w:r>
      <w:hyperlink r:id="rId25" w:history="1">
        <w:r w:rsidRPr="005C7627">
          <w:rPr>
            <w:rStyle w:val="Hyperlink"/>
            <w:sz w:val="22"/>
            <w:szCs w:val="22"/>
          </w:rPr>
          <w:t>[2021] 126 taxmann.com 112/279 Taxman 166 (Bom.)</w:t>
        </w:r>
      </w:hyperlink>
      <w:r w:rsidRPr="005C7627">
        <w:rPr>
          <w:sz w:val="22"/>
          <w:szCs w:val="22"/>
        </w:rPr>
        <w:t>].</w:t>
      </w:r>
    </w:p>
    <w:p w14:paraId="4181BBAB" w14:textId="77777777" w:rsidR="00607CE4" w:rsidRPr="005C7627" w:rsidRDefault="00607CE4" w:rsidP="00D749F5">
      <w:pPr>
        <w:pStyle w:val="indent1"/>
        <w:shd w:val="clear" w:color="auto" w:fill="FFFFFF"/>
        <w:spacing w:before="0" w:beforeAutospacing="0" w:after="0" w:afterAutospacing="0" w:line="276" w:lineRule="auto"/>
        <w:ind w:left="284" w:hanging="284"/>
        <w:jc w:val="both"/>
        <w:rPr>
          <w:b/>
          <w:bCs/>
          <w:sz w:val="22"/>
          <w:szCs w:val="22"/>
        </w:rPr>
      </w:pPr>
    </w:p>
    <w:p w14:paraId="3301C59B" w14:textId="24792FBD" w:rsidR="00607CE4" w:rsidRPr="005C7627" w:rsidRDefault="007A5B57"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lastRenderedPageBreak/>
        <w:t xml:space="preserve">Del Credere Agents &amp; Retailer Incentives: </w:t>
      </w:r>
      <w:r w:rsidRPr="005C7627">
        <w:rPr>
          <w:sz w:val="22"/>
          <w:szCs w:val="22"/>
        </w:rPr>
        <w:t xml:space="preserve">In </w:t>
      </w:r>
      <w:r w:rsidRPr="005C7627">
        <w:rPr>
          <w:b/>
          <w:bCs/>
          <w:sz w:val="22"/>
          <w:szCs w:val="22"/>
        </w:rPr>
        <w:t>CIT v. United Breweries Ltd. [2017] 80 taxmann.com 123 (AP &amp; Telangana)</w:t>
      </w:r>
      <w:r w:rsidRPr="005C7627">
        <w:rPr>
          <w:sz w:val="22"/>
          <w:szCs w:val="22"/>
        </w:rPr>
        <w:t xml:space="preserve">, the High Court ruled that </w:t>
      </w:r>
      <w:r w:rsidRPr="005C7627">
        <w:rPr>
          <w:b/>
          <w:bCs/>
          <w:sz w:val="22"/>
          <w:szCs w:val="22"/>
        </w:rPr>
        <w:t>trade incentives paid by an assessee to retailers through del credere agents for boosting sales did not qualify as commission</w:t>
      </w:r>
      <w:r w:rsidRPr="005C7627">
        <w:rPr>
          <w:sz w:val="22"/>
          <w:szCs w:val="22"/>
        </w:rPr>
        <w:t xml:space="preserve"> since there was no principal-agent relationship between the assessee and the retailers. Consequently, TDS under Section 194H was </w:t>
      </w:r>
      <w:r w:rsidRPr="005C7627">
        <w:rPr>
          <w:b/>
          <w:bCs/>
          <w:sz w:val="22"/>
          <w:szCs w:val="22"/>
        </w:rPr>
        <w:t>not applicable</w:t>
      </w:r>
      <w:r w:rsidRPr="005C7627">
        <w:rPr>
          <w:sz w:val="22"/>
          <w:szCs w:val="22"/>
        </w:rPr>
        <w:t>.</w:t>
      </w:r>
    </w:p>
    <w:p w14:paraId="6B6CC138" w14:textId="72A1B603" w:rsidR="00B76A35" w:rsidRPr="005C7627" w:rsidRDefault="00B76A35"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Principal-to-Principal Transactions &amp; Temporary Incentives:</w:t>
      </w:r>
      <w:r w:rsidR="004875B9" w:rsidRPr="005C7627">
        <w:rPr>
          <w:b/>
          <w:bCs/>
          <w:sz w:val="22"/>
          <w:szCs w:val="22"/>
        </w:rPr>
        <w:t xml:space="preserve"> </w:t>
      </w:r>
      <w:r w:rsidR="004875B9" w:rsidRPr="005C7627">
        <w:rPr>
          <w:sz w:val="22"/>
          <w:szCs w:val="22"/>
        </w:rPr>
        <w:t xml:space="preserve">In </w:t>
      </w:r>
      <w:r w:rsidR="004875B9" w:rsidRPr="005C7627">
        <w:rPr>
          <w:b/>
          <w:bCs/>
          <w:sz w:val="22"/>
          <w:szCs w:val="22"/>
        </w:rPr>
        <w:t>National Panasonic India (P) Ltd. v. DCIT (2005) 94 TTJ 899 (Delhi Tribunal)</w:t>
      </w:r>
      <w:r w:rsidR="004875B9" w:rsidRPr="005C7627">
        <w:rPr>
          <w:sz w:val="22"/>
          <w:szCs w:val="22"/>
        </w:rPr>
        <w:t xml:space="preserve">, the Tribunal examined whether incentives paid to dealers constituted "commission" under Section 194H. The court ruled that since the relationship between the parties was on a </w:t>
      </w:r>
      <w:r w:rsidR="004875B9" w:rsidRPr="005C7627">
        <w:rPr>
          <w:b/>
          <w:bCs/>
          <w:sz w:val="22"/>
          <w:szCs w:val="22"/>
        </w:rPr>
        <w:t>principal-to-principal basis</w:t>
      </w:r>
      <w:r w:rsidR="004875B9" w:rsidRPr="005C7627">
        <w:rPr>
          <w:sz w:val="22"/>
          <w:szCs w:val="22"/>
        </w:rPr>
        <w:t xml:space="preserve">, such payments were </w:t>
      </w:r>
      <w:r w:rsidR="004875B9" w:rsidRPr="005C7627">
        <w:rPr>
          <w:b/>
          <w:bCs/>
          <w:sz w:val="22"/>
          <w:szCs w:val="22"/>
        </w:rPr>
        <w:t>not commission but promotional incentives</w:t>
      </w:r>
      <w:r w:rsidR="004875B9" w:rsidRPr="005C7627">
        <w:rPr>
          <w:sz w:val="22"/>
          <w:szCs w:val="22"/>
        </w:rPr>
        <w:t xml:space="preserve">. The incentive schemes were temporary, sales-driven, and not a permanent feature of the business relationship, meaning TDS under Section 194H was </w:t>
      </w:r>
      <w:r w:rsidR="004875B9" w:rsidRPr="005C7627">
        <w:rPr>
          <w:b/>
          <w:bCs/>
          <w:sz w:val="22"/>
          <w:szCs w:val="22"/>
        </w:rPr>
        <w:t>not applicable</w:t>
      </w:r>
      <w:r w:rsidR="004875B9" w:rsidRPr="005C7627">
        <w:rPr>
          <w:sz w:val="22"/>
          <w:szCs w:val="22"/>
        </w:rPr>
        <w:t>.</w:t>
      </w:r>
    </w:p>
    <w:p w14:paraId="496370C6" w14:textId="77777777" w:rsidR="009125B1" w:rsidRPr="005C7627" w:rsidRDefault="00D505F5"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Guarantee commission -</w:t>
      </w:r>
      <w:r w:rsidRPr="005C7627">
        <w:rPr>
          <w:sz w:val="22"/>
          <w:szCs w:val="22"/>
        </w:rPr>
        <w:t xml:space="preserve"> Payment of </w:t>
      </w:r>
      <w:proofErr w:type="gramStart"/>
      <w:r w:rsidRPr="005C7627">
        <w:rPr>
          <w:sz w:val="22"/>
          <w:szCs w:val="22"/>
        </w:rPr>
        <w:t>guarantee</w:t>
      </w:r>
      <w:proofErr w:type="gramEnd"/>
      <w:r w:rsidRPr="005C7627">
        <w:rPr>
          <w:sz w:val="22"/>
          <w:szCs w:val="22"/>
        </w:rPr>
        <w:t xml:space="preserve"> commission made by assessee to banks was not covered under 'commission or brokerage' [CIT v. Nimbus Communications Ltd. </w:t>
      </w:r>
      <w:hyperlink r:id="rId26" w:history="1">
        <w:r w:rsidRPr="005C7627">
          <w:rPr>
            <w:rStyle w:val="Hyperlink"/>
            <w:sz w:val="22"/>
            <w:szCs w:val="22"/>
          </w:rPr>
          <w:t>[2019] 109 taxmann.com 498/266 Taxman 375 (SC)</w:t>
        </w:r>
      </w:hyperlink>
      <w:r w:rsidRPr="005C7627">
        <w:rPr>
          <w:sz w:val="22"/>
          <w:szCs w:val="22"/>
        </w:rPr>
        <w:t>].</w:t>
      </w:r>
    </w:p>
    <w:p w14:paraId="650616BE" w14:textId="77777777" w:rsidR="009125B1" w:rsidRPr="005C7627" w:rsidRDefault="009125B1" w:rsidP="00D749F5">
      <w:pPr>
        <w:pStyle w:val="indent1"/>
        <w:shd w:val="clear" w:color="auto" w:fill="FFFFFF"/>
        <w:spacing w:before="0" w:beforeAutospacing="0" w:after="0" w:afterAutospacing="0" w:line="276" w:lineRule="auto"/>
        <w:ind w:left="284" w:hanging="284"/>
        <w:jc w:val="both"/>
        <w:rPr>
          <w:b/>
          <w:bCs/>
          <w:sz w:val="22"/>
          <w:szCs w:val="22"/>
        </w:rPr>
      </w:pPr>
    </w:p>
    <w:p w14:paraId="6CCDAE6C" w14:textId="06EA492E" w:rsidR="009125B1" w:rsidRPr="005C7627" w:rsidRDefault="009125B1"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Payment gateway facility charges -</w:t>
      </w:r>
      <w:r w:rsidRPr="005C7627">
        <w:rPr>
          <w:sz w:val="22"/>
          <w:szCs w:val="22"/>
        </w:rPr>
        <w:t> Where assessee, which was selling travel products, paid fees to banks for providing payment gateway facility, same could not be treated as commission or brokerage, hence, not liable to tax u/s 194H [PCIT v. Make My Trip India (P.) Ltd. </w:t>
      </w:r>
      <w:hyperlink r:id="rId27" w:history="1">
        <w:r w:rsidRPr="005C7627">
          <w:rPr>
            <w:rStyle w:val="Hyperlink"/>
            <w:sz w:val="22"/>
            <w:szCs w:val="22"/>
          </w:rPr>
          <w:t>[2019] 104 taxmann.com 263/263 Taxman 271 (Delhi)</w:t>
        </w:r>
      </w:hyperlink>
      <w:r w:rsidRPr="005C7627">
        <w:rPr>
          <w:sz w:val="22"/>
          <w:szCs w:val="22"/>
        </w:rPr>
        <w:t>]. Service charges paid by assessee bank to National Financial Switch and Cash Tree for routing transactions of payments made by customers of assessee-bank to acquiring bank would not be liable to TDS deduction u/s 194H [CIT v. Corporation Bank </w:t>
      </w:r>
      <w:hyperlink r:id="rId28" w:history="1">
        <w:r w:rsidRPr="005C7627">
          <w:rPr>
            <w:rStyle w:val="Hyperlink"/>
            <w:sz w:val="22"/>
            <w:szCs w:val="22"/>
          </w:rPr>
          <w:t>[2021] 123 taxmann.com 204/277 Taxman 207 (Kar.)</w:t>
        </w:r>
      </w:hyperlink>
      <w:r w:rsidRPr="005C7627">
        <w:rPr>
          <w:sz w:val="22"/>
          <w:szCs w:val="22"/>
        </w:rPr>
        <w:t>; CIT v. Karnataka Bank Ltd. [2022] 142 taxmann.com 64 (Karn.), </w:t>
      </w:r>
      <w:r w:rsidRPr="005C7627">
        <w:rPr>
          <w:b/>
          <w:bCs/>
          <w:sz w:val="22"/>
          <w:szCs w:val="22"/>
        </w:rPr>
        <w:t>SLP granted in</w:t>
      </w:r>
      <w:r w:rsidRPr="005C7627">
        <w:rPr>
          <w:sz w:val="22"/>
          <w:szCs w:val="22"/>
        </w:rPr>
        <w:t> CIT v. Karnataka Bank Ltd. </w:t>
      </w:r>
      <w:hyperlink r:id="rId29" w:history="1">
        <w:r w:rsidRPr="005C7627">
          <w:rPr>
            <w:rStyle w:val="Hyperlink"/>
            <w:sz w:val="22"/>
            <w:szCs w:val="22"/>
          </w:rPr>
          <w:t>[2022] 142 taxmann.com 65/288 Taxman 725 (SC)</w:t>
        </w:r>
      </w:hyperlink>
      <w:r w:rsidRPr="005C7627">
        <w:rPr>
          <w:sz w:val="22"/>
          <w:szCs w:val="22"/>
        </w:rPr>
        <w:t>].</w:t>
      </w:r>
    </w:p>
    <w:p w14:paraId="5F96F315" w14:textId="77777777" w:rsidR="002D4EF4" w:rsidRPr="005C7627" w:rsidRDefault="002D4EF4" w:rsidP="00D749F5">
      <w:pPr>
        <w:pStyle w:val="indent1"/>
        <w:shd w:val="clear" w:color="auto" w:fill="FFFFFF"/>
        <w:spacing w:before="0" w:beforeAutospacing="0" w:after="0" w:afterAutospacing="0" w:line="276" w:lineRule="auto"/>
        <w:ind w:left="284" w:hanging="284"/>
        <w:jc w:val="both"/>
        <w:rPr>
          <w:b/>
          <w:bCs/>
          <w:sz w:val="22"/>
          <w:szCs w:val="22"/>
        </w:rPr>
      </w:pPr>
    </w:p>
    <w:p w14:paraId="628CA342" w14:textId="144F771A" w:rsidR="002D4EF4" w:rsidRPr="005C7627" w:rsidRDefault="002D4EF4" w:rsidP="00D749F5">
      <w:pPr>
        <w:pStyle w:val="indent1"/>
        <w:numPr>
          <w:ilvl w:val="1"/>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No tds under 194I</w:t>
      </w:r>
    </w:p>
    <w:p w14:paraId="1E889AAE" w14:textId="77777777" w:rsidR="002D4EF4" w:rsidRPr="005C7627" w:rsidRDefault="002D4EF4" w:rsidP="00D749F5">
      <w:pPr>
        <w:pStyle w:val="indent1"/>
        <w:shd w:val="clear" w:color="auto" w:fill="FFFFFF"/>
        <w:spacing w:before="0" w:beforeAutospacing="0" w:after="0" w:afterAutospacing="0" w:line="276" w:lineRule="auto"/>
        <w:ind w:left="284" w:hanging="284"/>
        <w:jc w:val="both"/>
        <w:rPr>
          <w:b/>
          <w:bCs/>
          <w:sz w:val="22"/>
          <w:szCs w:val="22"/>
        </w:rPr>
      </w:pPr>
    </w:p>
    <w:p w14:paraId="4EE6E0CF" w14:textId="3C945A58" w:rsidR="002D4EF4" w:rsidRPr="005C7627" w:rsidRDefault="00406C7C"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lang w:val="en-US"/>
        </w:rPr>
        <w:t xml:space="preserve">Income received by certain </w:t>
      </w:r>
      <w:proofErr w:type="spellStart"/>
      <w:r w:rsidRPr="005C7627">
        <w:rPr>
          <w:b/>
          <w:bCs/>
          <w:sz w:val="22"/>
          <w:szCs w:val="22"/>
          <w:lang w:val="en-US"/>
        </w:rPr>
        <w:t>defence</w:t>
      </w:r>
      <w:proofErr w:type="spellEnd"/>
      <w:r w:rsidRPr="005C7627">
        <w:rPr>
          <w:b/>
          <w:bCs/>
          <w:sz w:val="22"/>
          <w:szCs w:val="22"/>
          <w:lang w:val="en-US"/>
        </w:rPr>
        <w:t xml:space="preserve"> funds</w:t>
      </w:r>
      <w:r w:rsidRPr="005C7627">
        <w:rPr>
          <w:sz w:val="22"/>
          <w:szCs w:val="22"/>
          <w:lang w:val="en-US"/>
        </w:rPr>
        <w:t xml:space="preserve"> - In respect of any income received by any person on behalf of any Regimental Fund or Non-public Fund established by the Armed Forces of the Union for the welfare of past and present members of such forces or their defendants, no tax may be deducted at source under section 194-I, since the income of these </w:t>
      </w:r>
      <w:proofErr w:type="spellStart"/>
      <w:r w:rsidRPr="005C7627">
        <w:rPr>
          <w:sz w:val="22"/>
          <w:szCs w:val="22"/>
          <w:lang w:val="en-US"/>
        </w:rPr>
        <w:t>organisations</w:t>
      </w:r>
      <w:proofErr w:type="spellEnd"/>
      <w:r w:rsidRPr="005C7627">
        <w:rPr>
          <w:sz w:val="22"/>
          <w:szCs w:val="22"/>
          <w:lang w:val="en-US"/>
        </w:rPr>
        <w:t xml:space="preserve"> is exempt from tax under section 10(23AA)—Circular : No. 735, dated 30-1-1996.</w:t>
      </w:r>
    </w:p>
    <w:p w14:paraId="1BA08A7C" w14:textId="1C6FADFC" w:rsidR="0094170F" w:rsidRPr="005C7627" w:rsidRDefault="0094170F"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lang w:val="en-US"/>
        </w:rPr>
        <w:t>Non-applicability of provisions of section 194-I on remittance of Passenger Service Fees (PSF) by an airline to an airport operator</w:t>
      </w:r>
      <w:proofErr w:type="gramStart"/>
      <w:r w:rsidR="002E3DCA" w:rsidRPr="005C7627">
        <w:rPr>
          <w:sz w:val="22"/>
          <w:szCs w:val="22"/>
          <w:lang w:val="en-US"/>
        </w:rPr>
        <w:t>-  The</w:t>
      </w:r>
      <w:proofErr w:type="gramEnd"/>
      <w:r w:rsidR="002E3DCA" w:rsidRPr="005C7627">
        <w:rPr>
          <w:sz w:val="22"/>
          <w:szCs w:val="22"/>
          <w:lang w:val="en-US"/>
        </w:rPr>
        <w:t xml:space="preserve"> Board has accepted the above view of the High Court of Bombay. Accordingly, it is now a settled position that section 194-I of the Act, will not apply on PSF.</w:t>
      </w:r>
    </w:p>
    <w:p w14:paraId="52B71063" w14:textId="0DCE324C" w:rsidR="002E3DCA" w:rsidRPr="005C7627" w:rsidRDefault="00BF44C4" w:rsidP="00D749F5">
      <w:pPr>
        <w:pStyle w:val="indent1"/>
        <w:numPr>
          <w:ilvl w:val="4"/>
          <w:numId w:val="1"/>
        </w:numPr>
        <w:shd w:val="clear" w:color="auto" w:fill="FFFFFF"/>
        <w:spacing w:before="0" w:beforeAutospacing="0" w:after="0" w:afterAutospacing="0" w:line="276" w:lineRule="auto"/>
        <w:ind w:left="284" w:hanging="284"/>
        <w:jc w:val="both"/>
        <w:rPr>
          <w:b/>
          <w:bCs/>
          <w:sz w:val="22"/>
          <w:szCs w:val="22"/>
        </w:rPr>
      </w:pPr>
      <w:r w:rsidRPr="005C7627">
        <w:rPr>
          <w:b/>
          <w:bCs/>
          <w:sz w:val="22"/>
          <w:szCs w:val="22"/>
        </w:rPr>
        <w:t>Wheeling/transmission charges -</w:t>
      </w:r>
      <w:r w:rsidRPr="005C7627">
        <w:rPr>
          <w:sz w:val="22"/>
          <w:szCs w:val="22"/>
        </w:rPr>
        <w:t> Wheeling or transmission charges paid to power transmitting companies by assessee-electricity distribution company did not amount to 'rent' requiring TDS u/s 194-I [</w:t>
      </w:r>
      <w:r w:rsidRPr="005C7627">
        <w:rPr>
          <w:i/>
          <w:iCs/>
          <w:sz w:val="22"/>
          <w:szCs w:val="22"/>
        </w:rPr>
        <w:t>CIT </w:t>
      </w:r>
      <w:r w:rsidRPr="005C7627">
        <w:rPr>
          <w:sz w:val="22"/>
          <w:szCs w:val="22"/>
        </w:rPr>
        <w:t>v.</w:t>
      </w:r>
      <w:r w:rsidRPr="005C7627">
        <w:rPr>
          <w:i/>
          <w:iCs/>
          <w:sz w:val="22"/>
          <w:szCs w:val="22"/>
        </w:rPr>
        <w:t> Maharashtra State Electricity Distribution Co. Ltd. </w:t>
      </w:r>
      <w:hyperlink r:id="rId30" w:history="1">
        <w:r w:rsidRPr="005C7627">
          <w:rPr>
            <w:rStyle w:val="Hyperlink"/>
            <w:sz w:val="22"/>
            <w:szCs w:val="22"/>
          </w:rPr>
          <w:t>[2015] 58 taxmann.com 339/232 Taxman 373</w:t>
        </w:r>
      </w:hyperlink>
      <w:r w:rsidRPr="005C7627">
        <w:rPr>
          <w:sz w:val="22"/>
          <w:szCs w:val="22"/>
        </w:rPr>
        <w:t>, </w:t>
      </w:r>
      <w:r w:rsidRPr="005C7627">
        <w:rPr>
          <w:b/>
          <w:bCs/>
          <w:sz w:val="22"/>
          <w:szCs w:val="22"/>
        </w:rPr>
        <w:t>SLP dismissed in</w:t>
      </w:r>
      <w:r w:rsidRPr="005C7627">
        <w:rPr>
          <w:i/>
          <w:iCs/>
          <w:sz w:val="22"/>
          <w:szCs w:val="22"/>
        </w:rPr>
        <w:t> CIT </w:t>
      </w:r>
      <w:r w:rsidRPr="005C7627">
        <w:rPr>
          <w:sz w:val="22"/>
          <w:szCs w:val="22"/>
        </w:rPr>
        <w:t>v.</w:t>
      </w:r>
      <w:r w:rsidRPr="005C7627">
        <w:rPr>
          <w:i/>
          <w:iCs/>
          <w:sz w:val="22"/>
          <w:szCs w:val="22"/>
        </w:rPr>
        <w:t> Maharashtra State Electricity Distribution Co. Ltd. </w:t>
      </w:r>
      <w:hyperlink r:id="rId31" w:history="1">
        <w:r w:rsidRPr="005C7627">
          <w:rPr>
            <w:rStyle w:val="Hyperlink"/>
            <w:sz w:val="22"/>
            <w:szCs w:val="22"/>
          </w:rPr>
          <w:t>[2016] 74 taxmann.com 8/242 Taxman 369 (SC)</w:t>
        </w:r>
      </w:hyperlink>
      <w:r w:rsidRPr="005C7627">
        <w:rPr>
          <w:sz w:val="22"/>
          <w:szCs w:val="22"/>
        </w:rPr>
        <w:t>].</w:t>
      </w:r>
    </w:p>
    <w:sectPr w:rsidR="002E3DCA" w:rsidRPr="005C7627" w:rsidSect="00FB14C1">
      <w:footerReference w:type="default" r:id="rId32"/>
      <w:type w:val="continuous"/>
      <w:pgSz w:w="16838" w:h="11906" w:orient="landscape"/>
      <w:pgMar w:top="1440" w:right="1276"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4089C" w14:textId="77777777" w:rsidR="003D3592" w:rsidRDefault="003D3592" w:rsidP="00A4772F">
      <w:pPr>
        <w:spacing w:after="0" w:line="240" w:lineRule="auto"/>
      </w:pPr>
      <w:r>
        <w:separator/>
      </w:r>
    </w:p>
  </w:endnote>
  <w:endnote w:type="continuationSeparator" w:id="0">
    <w:p w14:paraId="258B7621" w14:textId="77777777" w:rsidR="003D3592" w:rsidRDefault="003D3592" w:rsidP="00A4772F">
      <w:pPr>
        <w:spacing w:after="0" w:line="240" w:lineRule="auto"/>
      </w:pPr>
      <w:r>
        <w:continuationSeparator/>
      </w:r>
    </w:p>
  </w:endnote>
  <w:endnote w:type="continuationNotice" w:id="1">
    <w:p w14:paraId="0F014B97" w14:textId="77777777" w:rsidR="003D3592" w:rsidRDefault="003D35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Light">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C STKaiti">
    <w:altName w:val="Microsoft YaHei"/>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2633701"/>
      <w:docPartObj>
        <w:docPartGallery w:val="Page Numbers (Bottom of Page)"/>
        <w:docPartUnique/>
      </w:docPartObj>
    </w:sdtPr>
    <w:sdtEndPr>
      <w:rPr>
        <w:noProof/>
      </w:rPr>
    </w:sdtEndPr>
    <w:sdtContent>
      <w:p w14:paraId="34A10F6F" w14:textId="0093FFD3" w:rsidR="00FB14C1" w:rsidRDefault="00FB14C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62CDE7" w14:textId="77777777" w:rsidR="00FB14C1" w:rsidRDefault="00FB1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332E6" w14:textId="77777777" w:rsidR="003D3592" w:rsidRDefault="003D3592" w:rsidP="00A4772F">
      <w:pPr>
        <w:spacing w:after="0" w:line="240" w:lineRule="auto"/>
      </w:pPr>
      <w:r>
        <w:separator/>
      </w:r>
    </w:p>
  </w:footnote>
  <w:footnote w:type="continuationSeparator" w:id="0">
    <w:p w14:paraId="3C8DF553" w14:textId="77777777" w:rsidR="003D3592" w:rsidRDefault="003D3592" w:rsidP="00A4772F">
      <w:pPr>
        <w:spacing w:after="0" w:line="240" w:lineRule="auto"/>
      </w:pPr>
      <w:r>
        <w:continuationSeparator/>
      </w:r>
    </w:p>
  </w:footnote>
  <w:footnote w:type="continuationNotice" w:id="1">
    <w:p w14:paraId="571ED47F" w14:textId="77777777" w:rsidR="003D3592" w:rsidRDefault="003D359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A4A"/>
    <w:multiLevelType w:val="hybridMultilevel"/>
    <w:tmpl w:val="61627B4E"/>
    <w:lvl w:ilvl="0" w:tplc="0C465ABA">
      <w:start w:val="1"/>
      <w:numFmt w:val="bullet"/>
      <w:lvlText w:val="►"/>
      <w:lvlJc w:val="left"/>
      <w:pPr>
        <w:ind w:left="1287" w:hanging="360"/>
      </w:pPr>
      <w:rPr>
        <w:rFonts w:ascii="Arial" w:hAnsi="Arial" w:hint="default"/>
        <w:color w:val="FFC000"/>
      </w:rPr>
    </w:lvl>
    <w:lvl w:ilvl="1" w:tplc="0C465ABA">
      <w:start w:val="1"/>
      <w:numFmt w:val="bullet"/>
      <w:lvlText w:val="►"/>
      <w:lvlJc w:val="left"/>
      <w:pPr>
        <w:ind w:left="2007" w:hanging="360"/>
      </w:pPr>
      <w:rPr>
        <w:rFonts w:ascii="Arial" w:hAnsi="Arial" w:hint="default"/>
        <w:color w:val="FFC000"/>
      </w:rPr>
    </w:lvl>
    <w:lvl w:ilvl="2" w:tplc="04090001">
      <w:start w:val="1"/>
      <w:numFmt w:val="bullet"/>
      <w:lvlText w:val=""/>
      <w:lvlJc w:val="left"/>
      <w:pPr>
        <w:ind w:left="2727" w:hanging="360"/>
      </w:pPr>
      <w:rPr>
        <w:rFonts w:ascii="Symbol" w:hAnsi="Symbol"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76C750D"/>
    <w:multiLevelType w:val="hybridMultilevel"/>
    <w:tmpl w:val="FBCC8D92"/>
    <w:lvl w:ilvl="0" w:tplc="40090001">
      <w:start w:val="1"/>
      <w:numFmt w:val="bullet"/>
      <w:lvlText w:val=""/>
      <w:lvlJc w:val="left"/>
      <w:pPr>
        <w:ind w:left="720" w:hanging="360"/>
      </w:pPr>
      <w:rPr>
        <w:rFonts w:ascii="Symbol" w:hAnsi="Symbol" w:hint="default"/>
      </w:rPr>
    </w:lvl>
    <w:lvl w:ilvl="1" w:tplc="40090017">
      <w:start w:val="1"/>
      <w:numFmt w:val="lowerLetter"/>
      <w:lvlText w:val="%2)"/>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8357DE"/>
    <w:multiLevelType w:val="multilevel"/>
    <w:tmpl w:val="5642B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10E9"/>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4" w15:restartNumberingAfterBreak="0">
    <w:nsid w:val="0EF4694F"/>
    <w:multiLevelType w:val="hybridMultilevel"/>
    <w:tmpl w:val="92E27764"/>
    <w:lvl w:ilvl="0" w:tplc="4009001B">
      <w:start w:val="1"/>
      <w:numFmt w:val="lowerRoman"/>
      <w:lvlText w:val="%1."/>
      <w:lvlJc w:val="right"/>
      <w:pPr>
        <w:ind w:left="4500" w:hanging="360"/>
      </w:pPr>
    </w:lvl>
    <w:lvl w:ilvl="1" w:tplc="40090019" w:tentative="1">
      <w:start w:val="1"/>
      <w:numFmt w:val="lowerLetter"/>
      <w:lvlText w:val="%2."/>
      <w:lvlJc w:val="left"/>
      <w:pPr>
        <w:ind w:left="5220" w:hanging="360"/>
      </w:pPr>
    </w:lvl>
    <w:lvl w:ilvl="2" w:tplc="4009001B" w:tentative="1">
      <w:start w:val="1"/>
      <w:numFmt w:val="lowerRoman"/>
      <w:lvlText w:val="%3."/>
      <w:lvlJc w:val="right"/>
      <w:pPr>
        <w:ind w:left="5940" w:hanging="180"/>
      </w:pPr>
    </w:lvl>
    <w:lvl w:ilvl="3" w:tplc="4009000F" w:tentative="1">
      <w:start w:val="1"/>
      <w:numFmt w:val="decimal"/>
      <w:lvlText w:val="%4."/>
      <w:lvlJc w:val="left"/>
      <w:pPr>
        <w:ind w:left="6660" w:hanging="360"/>
      </w:pPr>
    </w:lvl>
    <w:lvl w:ilvl="4" w:tplc="40090019" w:tentative="1">
      <w:start w:val="1"/>
      <w:numFmt w:val="lowerLetter"/>
      <w:lvlText w:val="%5."/>
      <w:lvlJc w:val="left"/>
      <w:pPr>
        <w:ind w:left="7380" w:hanging="360"/>
      </w:pPr>
    </w:lvl>
    <w:lvl w:ilvl="5" w:tplc="4009001B" w:tentative="1">
      <w:start w:val="1"/>
      <w:numFmt w:val="lowerRoman"/>
      <w:lvlText w:val="%6."/>
      <w:lvlJc w:val="right"/>
      <w:pPr>
        <w:ind w:left="8100" w:hanging="180"/>
      </w:pPr>
    </w:lvl>
    <w:lvl w:ilvl="6" w:tplc="4009000F" w:tentative="1">
      <w:start w:val="1"/>
      <w:numFmt w:val="decimal"/>
      <w:lvlText w:val="%7."/>
      <w:lvlJc w:val="left"/>
      <w:pPr>
        <w:ind w:left="8820" w:hanging="360"/>
      </w:pPr>
    </w:lvl>
    <w:lvl w:ilvl="7" w:tplc="40090019" w:tentative="1">
      <w:start w:val="1"/>
      <w:numFmt w:val="lowerLetter"/>
      <w:lvlText w:val="%8."/>
      <w:lvlJc w:val="left"/>
      <w:pPr>
        <w:ind w:left="9540" w:hanging="360"/>
      </w:pPr>
    </w:lvl>
    <w:lvl w:ilvl="8" w:tplc="4009001B" w:tentative="1">
      <w:start w:val="1"/>
      <w:numFmt w:val="lowerRoman"/>
      <w:lvlText w:val="%9."/>
      <w:lvlJc w:val="right"/>
      <w:pPr>
        <w:ind w:left="10260" w:hanging="180"/>
      </w:pPr>
    </w:lvl>
  </w:abstractNum>
  <w:abstractNum w:abstractNumId="5" w15:restartNumberingAfterBreak="0">
    <w:nsid w:val="11952D1A"/>
    <w:multiLevelType w:val="multilevel"/>
    <w:tmpl w:val="F7A8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359A1"/>
    <w:multiLevelType w:val="hybridMultilevel"/>
    <w:tmpl w:val="88F80EAA"/>
    <w:lvl w:ilvl="0" w:tplc="DAEAF6D0">
      <w:start w:val="1"/>
      <w:numFmt w:val="decimal"/>
      <w:lvlText w:val="%1."/>
      <w:lvlJc w:val="left"/>
      <w:pPr>
        <w:ind w:left="144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9D70BD"/>
    <w:multiLevelType w:val="hybridMultilevel"/>
    <w:tmpl w:val="D68068C4"/>
    <w:lvl w:ilvl="0" w:tplc="C74E83A6">
      <w:start w:val="2"/>
      <w:numFmt w:val="bullet"/>
      <w:lvlText w:val="-"/>
      <w:lvlJc w:val="left"/>
      <w:pPr>
        <w:ind w:left="1800" w:hanging="360"/>
      </w:pPr>
      <w:rPr>
        <w:rFonts w:ascii="EYInterstate Light" w:eastAsia="Times New Roman" w:hAnsi="EYInterstate Light"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8B871F2"/>
    <w:multiLevelType w:val="hybridMultilevel"/>
    <w:tmpl w:val="48D0AC02"/>
    <w:lvl w:ilvl="0" w:tplc="A01A77B8">
      <w:start w:val="1"/>
      <w:numFmt w:val="lowerRoman"/>
      <w:lvlText w:val="(%1)"/>
      <w:lvlJc w:val="left"/>
      <w:pPr>
        <w:ind w:left="2520" w:hanging="72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19D661BC"/>
    <w:multiLevelType w:val="hybridMultilevel"/>
    <w:tmpl w:val="6D9449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AAE2EC5"/>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1" w15:restartNumberingAfterBreak="0">
    <w:nsid w:val="1AFA149F"/>
    <w:multiLevelType w:val="hybridMultilevel"/>
    <w:tmpl w:val="08669FA2"/>
    <w:lvl w:ilvl="0" w:tplc="40090001">
      <w:start w:val="1"/>
      <w:numFmt w:val="bullet"/>
      <w:lvlText w:val=""/>
      <w:lvlJc w:val="left"/>
      <w:pPr>
        <w:ind w:left="1636" w:hanging="360"/>
      </w:pPr>
      <w:rPr>
        <w:rFonts w:ascii="Symbol" w:hAnsi="Symbol" w:hint="default"/>
        <w:b w:val="0"/>
        <w:bCs w:val="0"/>
        <w:color w:val="auto"/>
      </w:rPr>
    </w:lvl>
    <w:lvl w:ilvl="1" w:tplc="FFFFFFFF">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12" w15:restartNumberingAfterBreak="0">
    <w:nsid w:val="1B473B49"/>
    <w:multiLevelType w:val="hybridMultilevel"/>
    <w:tmpl w:val="E08ABFD2"/>
    <w:lvl w:ilvl="0" w:tplc="74BA6458">
      <w:start w:val="2"/>
      <w:numFmt w:val="lowerLetter"/>
      <w:lvlText w:val="%1."/>
      <w:lvlJc w:val="left"/>
      <w:pPr>
        <w:ind w:left="3600" w:hanging="360"/>
      </w:pPr>
      <w:rPr>
        <w:rFonts w:hint="default"/>
        <w:b/>
      </w:r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3" w15:restartNumberingAfterBreak="0">
    <w:nsid w:val="220C6703"/>
    <w:multiLevelType w:val="multilevel"/>
    <w:tmpl w:val="7708F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776CA3"/>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5" w15:restartNumberingAfterBreak="0">
    <w:nsid w:val="23397C89"/>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6" w15:restartNumberingAfterBreak="0">
    <w:nsid w:val="24383686"/>
    <w:multiLevelType w:val="hybridMultilevel"/>
    <w:tmpl w:val="E0384DD0"/>
    <w:lvl w:ilvl="0" w:tplc="05FA91F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44A511D"/>
    <w:multiLevelType w:val="hybridMultilevel"/>
    <w:tmpl w:val="CE9A6BDE"/>
    <w:lvl w:ilvl="0" w:tplc="B2363D58">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8" w15:restartNumberingAfterBreak="0">
    <w:nsid w:val="2BC30D18"/>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9" w15:restartNumberingAfterBreak="0">
    <w:nsid w:val="30475B0A"/>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0" w15:restartNumberingAfterBreak="0">
    <w:nsid w:val="319D11B5"/>
    <w:multiLevelType w:val="hybridMultilevel"/>
    <w:tmpl w:val="DC0EAA84"/>
    <w:lvl w:ilvl="0" w:tplc="6F7A1742">
      <w:start w:val="1"/>
      <w:numFmt w:val="upperRoman"/>
      <w:lvlText w:val="%1."/>
      <w:lvlJc w:val="right"/>
      <w:pPr>
        <w:ind w:left="720" w:hanging="360"/>
      </w:pPr>
      <w:rPr>
        <w:rFonts w:hint="default"/>
        <w:b/>
        <w:bCs/>
      </w:rPr>
    </w:lvl>
    <w:lvl w:ilvl="1" w:tplc="DAEAF6D0">
      <w:start w:val="1"/>
      <w:numFmt w:val="decimal"/>
      <w:lvlText w:val="%2."/>
      <w:lvlJc w:val="left"/>
      <w:pPr>
        <w:ind w:left="1440" w:hanging="360"/>
      </w:pPr>
      <w:rPr>
        <w:b/>
        <w:bCs/>
      </w:rPr>
    </w:lvl>
    <w:lvl w:ilvl="2" w:tplc="60449DFC">
      <w:start w:val="1"/>
      <w:numFmt w:val="lowerRoman"/>
      <w:lvlText w:val="%3."/>
      <w:lvlJc w:val="right"/>
      <w:pPr>
        <w:ind w:left="2160" w:hanging="180"/>
      </w:pPr>
      <w:rPr>
        <w:b w:val="0"/>
        <w:bCs w:val="0"/>
      </w:rPr>
    </w:lvl>
    <w:lvl w:ilvl="3" w:tplc="AB5EB65E">
      <w:start w:val="1"/>
      <w:numFmt w:val="bullet"/>
      <w:lvlText w:val="-"/>
      <w:lvlJc w:val="left"/>
      <w:pPr>
        <w:ind w:left="1056" w:hanging="360"/>
      </w:pPr>
      <w:rPr>
        <w:rFonts w:ascii="EYInterstate Light" w:eastAsiaTheme="minorHAnsi" w:hAnsi="EYInterstate Light" w:cs="Calibri" w:hint="default"/>
      </w:rPr>
    </w:lvl>
    <w:lvl w:ilvl="4" w:tplc="40090001">
      <w:start w:val="1"/>
      <w:numFmt w:val="bullet"/>
      <w:lvlText w:val=""/>
      <w:lvlJc w:val="left"/>
      <w:pPr>
        <w:ind w:left="3600" w:hanging="360"/>
      </w:pPr>
      <w:rPr>
        <w:rFonts w:ascii="Symbol" w:hAnsi="Symbol" w:hint="default"/>
      </w:rPr>
    </w:lvl>
    <w:lvl w:ilvl="5" w:tplc="4009001B">
      <w:start w:val="1"/>
      <w:numFmt w:val="lowerRoman"/>
      <w:lvlText w:val="%6."/>
      <w:lvlJc w:val="right"/>
      <w:pPr>
        <w:ind w:left="4320" w:hanging="180"/>
      </w:pPr>
    </w:lvl>
    <w:lvl w:ilvl="6" w:tplc="66425B94">
      <w:start w:val="1"/>
      <w:numFmt w:val="lowerRoman"/>
      <w:lvlText w:val="(%7)"/>
      <w:lvlJc w:val="left"/>
      <w:pPr>
        <w:ind w:left="5400" w:hanging="720"/>
      </w:pPr>
      <w:rPr>
        <w:rFonts w:hint="default"/>
      </w:r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3B43CE0"/>
    <w:multiLevelType w:val="hybridMultilevel"/>
    <w:tmpl w:val="29F29DA2"/>
    <w:lvl w:ilvl="0" w:tplc="40090001">
      <w:start w:val="1"/>
      <w:numFmt w:val="bullet"/>
      <w:lvlText w:val=""/>
      <w:lvlJc w:val="left"/>
      <w:pPr>
        <w:ind w:left="720" w:hanging="360"/>
      </w:pPr>
      <w:rPr>
        <w:rFonts w:ascii="Symbol" w:hAnsi="Symbol" w:hint="default"/>
      </w:rPr>
    </w:lvl>
    <w:lvl w:ilvl="1" w:tplc="87FEC2AA">
      <w:start w:val="1"/>
      <w:numFmt w:val="decimal"/>
      <w:lvlText w:val="3.%2"/>
      <w:lvlJc w:val="left"/>
      <w:pPr>
        <w:ind w:left="1440" w:hanging="360"/>
      </w:pPr>
      <w:rPr>
        <w:rFonts w:hint="default"/>
        <w:color w:val="auto"/>
      </w:rPr>
    </w:lvl>
    <w:lvl w:ilvl="2" w:tplc="58B80280">
      <w:start w:val="1"/>
      <w:numFmt w:val="decimal"/>
      <w:lvlText w:val="3.2.%3"/>
      <w:lvlJc w:val="left"/>
      <w:pPr>
        <w:ind w:left="2160" w:hanging="180"/>
      </w:pPr>
      <w:rPr>
        <w:rFonts w:hint="default"/>
      </w:rPr>
    </w:lvl>
    <w:lvl w:ilvl="3" w:tplc="D1761362">
      <w:numFmt w:val="bullet"/>
      <w:lvlText w:val="-"/>
      <w:lvlJc w:val="left"/>
      <w:pPr>
        <w:ind w:left="2880" w:hanging="360"/>
      </w:pPr>
      <w:rPr>
        <w:rFonts w:ascii="Arial" w:eastAsia="Times New Roman" w:hAnsi="Arial" w:cs="Aria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866086"/>
    <w:multiLevelType w:val="hybridMultilevel"/>
    <w:tmpl w:val="8E082E36"/>
    <w:lvl w:ilvl="0" w:tplc="40090001">
      <w:start w:val="1"/>
      <w:numFmt w:val="bullet"/>
      <w:lvlText w:val=""/>
      <w:lvlJc w:val="left"/>
      <w:pPr>
        <w:ind w:left="1636" w:hanging="360"/>
      </w:pPr>
      <w:rPr>
        <w:rFonts w:ascii="Symbol" w:hAnsi="Symbol" w:hint="default"/>
        <w:b w:val="0"/>
        <w:bCs w:val="0"/>
        <w:color w:val="auto"/>
      </w:rPr>
    </w:lvl>
    <w:lvl w:ilvl="1" w:tplc="FFFFFFFF">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23" w15:restartNumberingAfterBreak="0">
    <w:nsid w:val="3AB042FA"/>
    <w:multiLevelType w:val="multilevel"/>
    <w:tmpl w:val="739CC2A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3AF34201"/>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5" w15:restartNumberingAfterBreak="0">
    <w:nsid w:val="3B170F96"/>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6" w15:restartNumberingAfterBreak="0">
    <w:nsid w:val="3ED82277"/>
    <w:multiLevelType w:val="hybridMultilevel"/>
    <w:tmpl w:val="CF6E6DF4"/>
    <w:lvl w:ilvl="0" w:tplc="DAEAF6D0">
      <w:start w:val="1"/>
      <w:numFmt w:val="decimal"/>
      <w:lvlText w:val="%1."/>
      <w:lvlJc w:val="left"/>
      <w:pPr>
        <w:ind w:left="144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08C0884"/>
    <w:multiLevelType w:val="hybridMultilevel"/>
    <w:tmpl w:val="2CFADFD4"/>
    <w:lvl w:ilvl="0" w:tplc="C65EAA34">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8" w15:restartNumberingAfterBreak="0">
    <w:nsid w:val="42DA6CF7"/>
    <w:multiLevelType w:val="hybridMultilevel"/>
    <w:tmpl w:val="685297E4"/>
    <w:lvl w:ilvl="0" w:tplc="AB546B54">
      <w:start w:val="1"/>
      <w:numFmt w:val="lowerLetter"/>
      <w:lvlText w:val="%1."/>
      <w:lvlJc w:val="left"/>
      <w:pPr>
        <w:ind w:left="720" w:hanging="360"/>
      </w:pPr>
      <w:rPr>
        <w:rFonts w:ascii="EYInterstate Light" w:eastAsia="Times New Roman" w:hAnsi="EYInterstate Light" w:cs="Times New Roman"/>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5214EE1"/>
    <w:multiLevelType w:val="hybridMultilevel"/>
    <w:tmpl w:val="98DCBD7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0" w15:restartNumberingAfterBreak="0">
    <w:nsid w:val="470B2FAD"/>
    <w:multiLevelType w:val="hybridMultilevel"/>
    <w:tmpl w:val="9E02460E"/>
    <w:lvl w:ilvl="0" w:tplc="C74E83A6">
      <w:start w:val="2"/>
      <w:numFmt w:val="bullet"/>
      <w:lvlText w:val="-"/>
      <w:lvlJc w:val="left"/>
      <w:pPr>
        <w:ind w:left="644" w:hanging="360"/>
      </w:pPr>
      <w:rPr>
        <w:rFonts w:ascii="EYInterstate Light" w:eastAsia="Times New Roman" w:hAnsi="EYInterstate Light" w:cs="Times New Roman"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1" w15:restartNumberingAfterBreak="0">
    <w:nsid w:val="4F611261"/>
    <w:multiLevelType w:val="hybridMultilevel"/>
    <w:tmpl w:val="9B5A4E8E"/>
    <w:lvl w:ilvl="0" w:tplc="6276DE2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557F3D4E"/>
    <w:multiLevelType w:val="hybridMultilevel"/>
    <w:tmpl w:val="406E4A58"/>
    <w:lvl w:ilvl="0" w:tplc="C64AB482">
      <w:start w:val="1"/>
      <w:numFmt w:val="upperLetter"/>
      <w:lvlText w:val="%1."/>
      <w:lvlJc w:val="left"/>
      <w:pPr>
        <w:ind w:left="720" w:hanging="360"/>
      </w:pPr>
      <w:rPr>
        <w:rFonts w:hint="default"/>
        <w:b/>
        <w:bCs/>
      </w:rPr>
    </w:lvl>
    <w:lvl w:ilvl="1" w:tplc="ED4E519A">
      <w:start w:val="1"/>
      <w:numFmt w:val="lowerLetter"/>
      <w:lvlText w:val="%2."/>
      <w:lvlJc w:val="left"/>
      <w:pPr>
        <w:ind w:left="1440" w:hanging="360"/>
      </w:pPr>
      <w:rPr>
        <w:b/>
        <w:bCs/>
      </w:rPr>
    </w:lvl>
    <w:lvl w:ilvl="2" w:tplc="A7E6D23E">
      <w:start w:val="1"/>
      <w:numFmt w:val="lowerRoman"/>
      <w:lvlText w:val="%3."/>
      <w:lvlJc w:val="right"/>
      <w:pPr>
        <w:ind w:left="2160" w:hanging="180"/>
      </w:pPr>
      <w:rPr>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9654948"/>
    <w:multiLevelType w:val="hybridMultilevel"/>
    <w:tmpl w:val="D4D48786"/>
    <w:lvl w:ilvl="0" w:tplc="EE4A507A">
      <w:start w:val="1"/>
      <w:numFmt w:val="lowerLetter"/>
      <w:lvlText w:val="%1."/>
      <w:lvlJc w:val="left"/>
      <w:pPr>
        <w:ind w:left="927" w:hanging="360"/>
      </w:pPr>
      <w:rPr>
        <w:rFonts w:hint="default"/>
      </w:rPr>
    </w:lvl>
    <w:lvl w:ilvl="1" w:tplc="40090019">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4" w15:restartNumberingAfterBreak="0">
    <w:nsid w:val="68280D43"/>
    <w:multiLevelType w:val="hybridMultilevel"/>
    <w:tmpl w:val="EE2A77A6"/>
    <w:lvl w:ilvl="0" w:tplc="4F2848E8">
      <w:start w:val="1"/>
      <w:numFmt w:val="bullet"/>
      <w:lvlText w:val="►"/>
      <w:lvlJc w:val="left"/>
      <w:pPr>
        <w:ind w:left="1854" w:hanging="360"/>
      </w:pPr>
      <w:rPr>
        <w:rFonts w:ascii="Arial" w:hAnsi="Arial" w:hint="default"/>
        <w:b/>
        <w:color w:val="FFE600"/>
        <w:sz w:val="20"/>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5" w15:restartNumberingAfterBreak="0">
    <w:nsid w:val="6D78636D"/>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36" w15:restartNumberingAfterBreak="0">
    <w:nsid w:val="6EF16B4E"/>
    <w:multiLevelType w:val="hybridMultilevel"/>
    <w:tmpl w:val="1416EAF2"/>
    <w:lvl w:ilvl="0" w:tplc="E876BA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20B5039"/>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38" w15:restartNumberingAfterBreak="0">
    <w:nsid w:val="79982102"/>
    <w:multiLevelType w:val="hybridMultilevel"/>
    <w:tmpl w:val="EA7E9F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9A80283"/>
    <w:multiLevelType w:val="hybridMultilevel"/>
    <w:tmpl w:val="1F882BAA"/>
    <w:lvl w:ilvl="0" w:tplc="7F80B214">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0" w15:restartNumberingAfterBreak="0">
    <w:nsid w:val="79B145A1"/>
    <w:multiLevelType w:val="hybridMultilevel"/>
    <w:tmpl w:val="36AE0CCE"/>
    <w:lvl w:ilvl="0" w:tplc="FFFFFFFF">
      <w:start w:val="1"/>
      <w:numFmt w:val="lowerRoman"/>
      <w:lvlText w:val="%1)"/>
      <w:lvlJc w:val="left"/>
      <w:pPr>
        <w:ind w:left="1996" w:hanging="360"/>
      </w:pPr>
      <w:rPr>
        <w:rFonts w:hint="default"/>
        <w:b/>
        <w:bCs/>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41" w15:restartNumberingAfterBreak="0">
    <w:nsid w:val="7BAA74C7"/>
    <w:multiLevelType w:val="hybridMultilevel"/>
    <w:tmpl w:val="64ACBABE"/>
    <w:lvl w:ilvl="0" w:tplc="76344D7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6874625">
    <w:abstractNumId w:val="20"/>
  </w:num>
  <w:num w:numId="2" w16cid:durableId="1806386056">
    <w:abstractNumId w:val="16"/>
  </w:num>
  <w:num w:numId="3" w16cid:durableId="2141876162">
    <w:abstractNumId w:val="31"/>
  </w:num>
  <w:num w:numId="4" w16cid:durableId="915820311">
    <w:abstractNumId w:val="17"/>
  </w:num>
  <w:num w:numId="5" w16cid:durableId="20908796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67395837">
    <w:abstractNumId w:val="33"/>
  </w:num>
  <w:num w:numId="7" w16cid:durableId="315955743">
    <w:abstractNumId w:val="12"/>
  </w:num>
  <w:num w:numId="8" w16cid:durableId="1383169998">
    <w:abstractNumId w:val="28"/>
  </w:num>
  <w:num w:numId="9" w16cid:durableId="237594134">
    <w:abstractNumId w:val="40"/>
  </w:num>
  <w:num w:numId="10" w16cid:durableId="2097701173">
    <w:abstractNumId w:val="3"/>
  </w:num>
  <w:num w:numId="11" w16cid:durableId="1722290516">
    <w:abstractNumId w:val="10"/>
  </w:num>
  <w:num w:numId="12" w16cid:durableId="1426144314">
    <w:abstractNumId w:val="15"/>
  </w:num>
  <w:num w:numId="13" w16cid:durableId="1160535926">
    <w:abstractNumId w:val="19"/>
  </w:num>
  <w:num w:numId="14" w16cid:durableId="1931625046">
    <w:abstractNumId w:val="14"/>
  </w:num>
  <w:num w:numId="15" w16cid:durableId="723136310">
    <w:abstractNumId w:val="35"/>
  </w:num>
  <w:num w:numId="16" w16cid:durableId="692195157">
    <w:abstractNumId w:val="25"/>
  </w:num>
  <w:num w:numId="17" w16cid:durableId="1892810799">
    <w:abstractNumId w:val="24"/>
  </w:num>
  <w:num w:numId="18" w16cid:durableId="1870751751">
    <w:abstractNumId w:val="37"/>
  </w:num>
  <w:num w:numId="19" w16cid:durableId="1904561390">
    <w:abstractNumId w:val="18"/>
  </w:num>
  <w:num w:numId="20" w16cid:durableId="1282106904">
    <w:abstractNumId w:val="38"/>
  </w:num>
  <w:num w:numId="21" w16cid:durableId="1336807049">
    <w:abstractNumId w:val="29"/>
  </w:num>
  <w:num w:numId="22" w16cid:durableId="1867257212">
    <w:abstractNumId w:val="7"/>
  </w:num>
  <w:num w:numId="23" w16cid:durableId="654071922">
    <w:abstractNumId w:val="8"/>
  </w:num>
  <w:num w:numId="24" w16cid:durableId="727337970">
    <w:abstractNumId w:val="39"/>
  </w:num>
  <w:num w:numId="25" w16cid:durableId="1397586764">
    <w:abstractNumId w:val="27"/>
  </w:num>
  <w:num w:numId="26" w16cid:durableId="2133673532">
    <w:abstractNumId w:val="0"/>
  </w:num>
  <w:num w:numId="27" w16cid:durableId="1809007011">
    <w:abstractNumId w:val="9"/>
  </w:num>
  <w:num w:numId="28" w16cid:durableId="1019045794">
    <w:abstractNumId w:val="21"/>
  </w:num>
  <w:num w:numId="29" w16cid:durableId="180631832">
    <w:abstractNumId w:val="34"/>
  </w:num>
  <w:num w:numId="30" w16cid:durableId="1918318119">
    <w:abstractNumId w:val="41"/>
  </w:num>
  <w:num w:numId="31" w16cid:durableId="917833234">
    <w:abstractNumId w:val="4"/>
  </w:num>
  <w:num w:numId="32" w16cid:durableId="815417187">
    <w:abstractNumId w:val="36"/>
  </w:num>
  <w:num w:numId="33" w16cid:durableId="987903341">
    <w:abstractNumId w:val="30"/>
  </w:num>
  <w:num w:numId="34" w16cid:durableId="636881538">
    <w:abstractNumId w:val="26"/>
  </w:num>
  <w:num w:numId="35" w16cid:durableId="1354920534">
    <w:abstractNumId w:val="6"/>
  </w:num>
  <w:num w:numId="36" w16cid:durableId="908537214">
    <w:abstractNumId w:val="32"/>
  </w:num>
  <w:num w:numId="37" w16cid:durableId="85227658">
    <w:abstractNumId w:val="13"/>
  </w:num>
  <w:num w:numId="38" w16cid:durableId="1334182056">
    <w:abstractNumId w:val="5"/>
  </w:num>
  <w:num w:numId="39" w16cid:durableId="1687295119">
    <w:abstractNumId w:val="23"/>
  </w:num>
  <w:num w:numId="40" w16cid:durableId="1989244656">
    <w:abstractNumId w:val="23"/>
    <w:lvlOverride w:ilvl="1">
      <w:lvl w:ilvl="1">
        <w:numFmt w:val="decimal"/>
        <w:lvlText w:val="%2."/>
        <w:lvlJc w:val="left"/>
      </w:lvl>
    </w:lvlOverride>
  </w:num>
  <w:num w:numId="41" w16cid:durableId="150678967">
    <w:abstractNumId w:val="1"/>
  </w:num>
  <w:num w:numId="42" w16cid:durableId="1210452811">
    <w:abstractNumId w:val="11"/>
  </w:num>
  <w:num w:numId="43" w16cid:durableId="1265724371">
    <w:abstractNumId w:val="22"/>
  </w:num>
  <w:num w:numId="44" w16cid:durableId="100882488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4B2"/>
    <w:rsid w:val="000004E0"/>
    <w:rsid w:val="00001C57"/>
    <w:rsid w:val="0000329B"/>
    <w:rsid w:val="000035D3"/>
    <w:rsid w:val="00005C62"/>
    <w:rsid w:val="00005FDF"/>
    <w:rsid w:val="000066E9"/>
    <w:rsid w:val="00007D05"/>
    <w:rsid w:val="000107E2"/>
    <w:rsid w:val="00010CD4"/>
    <w:rsid w:val="00011468"/>
    <w:rsid w:val="00011FE7"/>
    <w:rsid w:val="00012FC1"/>
    <w:rsid w:val="00014D8A"/>
    <w:rsid w:val="000150D1"/>
    <w:rsid w:val="000176F5"/>
    <w:rsid w:val="00017FC2"/>
    <w:rsid w:val="00020211"/>
    <w:rsid w:val="00020F77"/>
    <w:rsid w:val="0002159F"/>
    <w:rsid w:val="00024C30"/>
    <w:rsid w:val="00024E73"/>
    <w:rsid w:val="00025A3F"/>
    <w:rsid w:val="000266C1"/>
    <w:rsid w:val="00031A75"/>
    <w:rsid w:val="0003494D"/>
    <w:rsid w:val="00034A16"/>
    <w:rsid w:val="00034D5A"/>
    <w:rsid w:val="00035EDC"/>
    <w:rsid w:val="0004346D"/>
    <w:rsid w:val="0004356A"/>
    <w:rsid w:val="00043E51"/>
    <w:rsid w:val="00044B62"/>
    <w:rsid w:val="000458F2"/>
    <w:rsid w:val="000466B3"/>
    <w:rsid w:val="0004675E"/>
    <w:rsid w:val="00047BD1"/>
    <w:rsid w:val="0005009B"/>
    <w:rsid w:val="00052039"/>
    <w:rsid w:val="00052E9C"/>
    <w:rsid w:val="00053B63"/>
    <w:rsid w:val="00054FC6"/>
    <w:rsid w:val="00055681"/>
    <w:rsid w:val="00055D05"/>
    <w:rsid w:val="0005659A"/>
    <w:rsid w:val="00056BDB"/>
    <w:rsid w:val="00056FC9"/>
    <w:rsid w:val="00057B5C"/>
    <w:rsid w:val="00061588"/>
    <w:rsid w:val="00062D55"/>
    <w:rsid w:val="00063189"/>
    <w:rsid w:val="00065787"/>
    <w:rsid w:val="00065F89"/>
    <w:rsid w:val="00070FDE"/>
    <w:rsid w:val="000721EC"/>
    <w:rsid w:val="00075209"/>
    <w:rsid w:val="000752B8"/>
    <w:rsid w:val="00076A06"/>
    <w:rsid w:val="00080719"/>
    <w:rsid w:val="0008174C"/>
    <w:rsid w:val="00081EC8"/>
    <w:rsid w:val="00085CB2"/>
    <w:rsid w:val="00085D08"/>
    <w:rsid w:val="00086228"/>
    <w:rsid w:val="00090AFB"/>
    <w:rsid w:val="00090E73"/>
    <w:rsid w:val="00092BD4"/>
    <w:rsid w:val="000932A3"/>
    <w:rsid w:val="000934C0"/>
    <w:rsid w:val="00093525"/>
    <w:rsid w:val="0009564F"/>
    <w:rsid w:val="000962AF"/>
    <w:rsid w:val="00097430"/>
    <w:rsid w:val="000A10A3"/>
    <w:rsid w:val="000A11B2"/>
    <w:rsid w:val="000A13FA"/>
    <w:rsid w:val="000A1BC6"/>
    <w:rsid w:val="000A2AE0"/>
    <w:rsid w:val="000A3A37"/>
    <w:rsid w:val="000A67D4"/>
    <w:rsid w:val="000B0A4F"/>
    <w:rsid w:val="000B1C7A"/>
    <w:rsid w:val="000B1F00"/>
    <w:rsid w:val="000B3749"/>
    <w:rsid w:val="000B3BFD"/>
    <w:rsid w:val="000B3D41"/>
    <w:rsid w:val="000B51EA"/>
    <w:rsid w:val="000B75CE"/>
    <w:rsid w:val="000C0051"/>
    <w:rsid w:val="000C12B8"/>
    <w:rsid w:val="000C12E3"/>
    <w:rsid w:val="000C1441"/>
    <w:rsid w:val="000C1711"/>
    <w:rsid w:val="000C30DC"/>
    <w:rsid w:val="000C37C6"/>
    <w:rsid w:val="000C3A62"/>
    <w:rsid w:val="000C3CE0"/>
    <w:rsid w:val="000C58B3"/>
    <w:rsid w:val="000C61ED"/>
    <w:rsid w:val="000C6A48"/>
    <w:rsid w:val="000C780F"/>
    <w:rsid w:val="000D23A3"/>
    <w:rsid w:val="000D2898"/>
    <w:rsid w:val="000D431C"/>
    <w:rsid w:val="000D5E2C"/>
    <w:rsid w:val="000D6A86"/>
    <w:rsid w:val="000D6C69"/>
    <w:rsid w:val="000D6CA9"/>
    <w:rsid w:val="000D6E49"/>
    <w:rsid w:val="000D6EFA"/>
    <w:rsid w:val="000D78A4"/>
    <w:rsid w:val="000D7CD6"/>
    <w:rsid w:val="000E07B7"/>
    <w:rsid w:val="000E1761"/>
    <w:rsid w:val="000E280C"/>
    <w:rsid w:val="000E53E3"/>
    <w:rsid w:val="000E71EB"/>
    <w:rsid w:val="000F0528"/>
    <w:rsid w:val="000F0589"/>
    <w:rsid w:val="000F1BCE"/>
    <w:rsid w:val="000F5CD5"/>
    <w:rsid w:val="00102288"/>
    <w:rsid w:val="0010240D"/>
    <w:rsid w:val="001025DB"/>
    <w:rsid w:val="001033CF"/>
    <w:rsid w:val="00103403"/>
    <w:rsid w:val="00103E45"/>
    <w:rsid w:val="00104559"/>
    <w:rsid w:val="00104D69"/>
    <w:rsid w:val="00105710"/>
    <w:rsid w:val="00105D9C"/>
    <w:rsid w:val="00105F62"/>
    <w:rsid w:val="001073C4"/>
    <w:rsid w:val="00111891"/>
    <w:rsid w:val="00111A1C"/>
    <w:rsid w:val="00112281"/>
    <w:rsid w:val="00113F2F"/>
    <w:rsid w:val="00115641"/>
    <w:rsid w:val="001168C5"/>
    <w:rsid w:val="001209EC"/>
    <w:rsid w:val="001214A5"/>
    <w:rsid w:val="001215ED"/>
    <w:rsid w:val="001242A5"/>
    <w:rsid w:val="001248EB"/>
    <w:rsid w:val="00124E9C"/>
    <w:rsid w:val="001278E3"/>
    <w:rsid w:val="00127B4E"/>
    <w:rsid w:val="001318FC"/>
    <w:rsid w:val="00132DD3"/>
    <w:rsid w:val="00133BA4"/>
    <w:rsid w:val="00134033"/>
    <w:rsid w:val="001340B8"/>
    <w:rsid w:val="001359F5"/>
    <w:rsid w:val="00135DEF"/>
    <w:rsid w:val="00137616"/>
    <w:rsid w:val="00141E23"/>
    <w:rsid w:val="00142BD0"/>
    <w:rsid w:val="001439D1"/>
    <w:rsid w:val="00147D07"/>
    <w:rsid w:val="00150B82"/>
    <w:rsid w:val="001517C0"/>
    <w:rsid w:val="00151FF9"/>
    <w:rsid w:val="00152F40"/>
    <w:rsid w:val="001534E4"/>
    <w:rsid w:val="00153E07"/>
    <w:rsid w:val="00154601"/>
    <w:rsid w:val="00156600"/>
    <w:rsid w:val="001577B2"/>
    <w:rsid w:val="0016084A"/>
    <w:rsid w:val="00161245"/>
    <w:rsid w:val="001625AA"/>
    <w:rsid w:val="00162CE8"/>
    <w:rsid w:val="00163C93"/>
    <w:rsid w:val="0016568C"/>
    <w:rsid w:val="00165EE0"/>
    <w:rsid w:val="001663BA"/>
    <w:rsid w:val="00166727"/>
    <w:rsid w:val="00166CD5"/>
    <w:rsid w:val="00167C91"/>
    <w:rsid w:val="001702A0"/>
    <w:rsid w:val="00170384"/>
    <w:rsid w:val="0017117F"/>
    <w:rsid w:val="001711BE"/>
    <w:rsid w:val="00171638"/>
    <w:rsid w:val="001723B0"/>
    <w:rsid w:val="00172C69"/>
    <w:rsid w:val="00173577"/>
    <w:rsid w:val="00174755"/>
    <w:rsid w:val="00174A0D"/>
    <w:rsid w:val="001750C8"/>
    <w:rsid w:val="001756E8"/>
    <w:rsid w:val="001765B0"/>
    <w:rsid w:val="00180DFB"/>
    <w:rsid w:val="00184595"/>
    <w:rsid w:val="00187FCA"/>
    <w:rsid w:val="001910CA"/>
    <w:rsid w:val="00191AA4"/>
    <w:rsid w:val="001924EE"/>
    <w:rsid w:val="00194E62"/>
    <w:rsid w:val="0019772F"/>
    <w:rsid w:val="00197D86"/>
    <w:rsid w:val="00197EAF"/>
    <w:rsid w:val="001A010B"/>
    <w:rsid w:val="001A0471"/>
    <w:rsid w:val="001A08E9"/>
    <w:rsid w:val="001A090D"/>
    <w:rsid w:val="001A1A9D"/>
    <w:rsid w:val="001A2E76"/>
    <w:rsid w:val="001A3004"/>
    <w:rsid w:val="001A521B"/>
    <w:rsid w:val="001A52EB"/>
    <w:rsid w:val="001A538D"/>
    <w:rsid w:val="001A60B8"/>
    <w:rsid w:val="001A7710"/>
    <w:rsid w:val="001B0A52"/>
    <w:rsid w:val="001B2CE1"/>
    <w:rsid w:val="001B3059"/>
    <w:rsid w:val="001B3131"/>
    <w:rsid w:val="001B3C78"/>
    <w:rsid w:val="001B49EA"/>
    <w:rsid w:val="001B51FB"/>
    <w:rsid w:val="001B524F"/>
    <w:rsid w:val="001B62F3"/>
    <w:rsid w:val="001B6405"/>
    <w:rsid w:val="001B7C99"/>
    <w:rsid w:val="001C0366"/>
    <w:rsid w:val="001C044B"/>
    <w:rsid w:val="001C0EC6"/>
    <w:rsid w:val="001C1ADA"/>
    <w:rsid w:val="001C43B0"/>
    <w:rsid w:val="001C4D53"/>
    <w:rsid w:val="001C59C6"/>
    <w:rsid w:val="001C6506"/>
    <w:rsid w:val="001C69F2"/>
    <w:rsid w:val="001D072E"/>
    <w:rsid w:val="001D0AAB"/>
    <w:rsid w:val="001D0E4A"/>
    <w:rsid w:val="001D1935"/>
    <w:rsid w:val="001D2DF3"/>
    <w:rsid w:val="001E11C8"/>
    <w:rsid w:val="001E1A37"/>
    <w:rsid w:val="001E3A53"/>
    <w:rsid w:val="001E60B0"/>
    <w:rsid w:val="001E61E7"/>
    <w:rsid w:val="001F016A"/>
    <w:rsid w:val="001F165C"/>
    <w:rsid w:val="001F1DAA"/>
    <w:rsid w:val="001F1DF0"/>
    <w:rsid w:val="001F2DBC"/>
    <w:rsid w:val="001F68B4"/>
    <w:rsid w:val="002011DD"/>
    <w:rsid w:val="002012D8"/>
    <w:rsid w:val="00202150"/>
    <w:rsid w:val="00202BEB"/>
    <w:rsid w:val="00203BF5"/>
    <w:rsid w:val="00204240"/>
    <w:rsid w:val="00204255"/>
    <w:rsid w:val="00206589"/>
    <w:rsid w:val="002070AC"/>
    <w:rsid w:val="00207DD6"/>
    <w:rsid w:val="00207EB9"/>
    <w:rsid w:val="00210444"/>
    <w:rsid w:val="00210C82"/>
    <w:rsid w:val="00211410"/>
    <w:rsid w:val="00211C9E"/>
    <w:rsid w:val="00212CB8"/>
    <w:rsid w:val="0021588E"/>
    <w:rsid w:val="0021743F"/>
    <w:rsid w:val="002177BA"/>
    <w:rsid w:val="00220635"/>
    <w:rsid w:val="00221440"/>
    <w:rsid w:val="00222F8E"/>
    <w:rsid w:val="0022524E"/>
    <w:rsid w:val="00225885"/>
    <w:rsid w:val="00225D3B"/>
    <w:rsid w:val="00225D75"/>
    <w:rsid w:val="00227A49"/>
    <w:rsid w:val="00230899"/>
    <w:rsid w:val="00231792"/>
    <w:rsid w:val="00232388"/>
    <w:rsid w:val="00232888"/>
    <w:rsid w:val="002329C7"/>
    <w:rsid w:val="00232A87"/>
    <w:rsid w:val="002330FE"/>
    <w:rsid w:val="00235398"/>
    <w:rsid w:val="00236201"/>
    <w:rsid w:val="002377FC"/>
    <w:rsid w:val="00237E01"/>
    <w:rsid w:val="00240CE5"/>
    <w:rsid w:val="002411BB"/>
    <w:rsid w:val="00241A0F"/>
    <w:rsid w:val="00241A93"/>
    <w:rsid w:val="00243D87"/>
    <w:rsid w:val="002477F2"/>
    <w:rsid w:val="00250130"/>
    <w:rsid w:val="00253AE1"/>
    <w:rsid w:val="00254AA0"/>
    <w:rsid w:val="00256376"/>
    <w:rsid w:val="0026233E"/>
    <w:rsid w:val="00262DE5"/>
    <w:rsid w:val="00263AA3"/>
    <w:rsid w:val="00263DD1"/>
    <w:rsid w:val="002659EE"/>
    <w:rsid w:val="00266303"/>
    <w:rsid w:val="002679F1"/>
    <w:rsid w:val="00270116"/>
    <w:rsid w:val="002719A1"/>
    <w:rsid w:val="00272BEF"/>
    <w:rsid w:val="00272E2D"/>
    <w:rsid w:val="00274233"/>
    <w:rsid w:val="00274AC6"/>
    <w:rsid w:val="00274B70"/>
    <w:rsid w:val="00275A0F"/>
    <w:rsid w:val="00277AF6"/>
    <w:rsid w:val="0028017E"/>
    <w:rsid w:val="002801B5"/>
    <w:rsid w:val="002806B7"/>
    <w:rsid w:val="00281125"/>
    <w:rsid w:val="00283E7E"/>
    <w:rsid w:val="00286B15"/>
    <w:rsid w:val="00287C41"/>
    <w:rsid w:val="002906EA"/>
    <w:rsid w:val="00291541"/>
    <w:rsid w:val="002942A4"/>
    <w:rsid w:val="0029469D"/>
    <w:rsid w:val="00297A9E"/>
    <w:rsid w:val="002A0A7D"/>
    <w:rsid w:val="002A190B"/>
    <w:rsid w:val="002A2F76"/>
    <w:rsid w:val="002A33D8"/>
    <w:rsid w:val="002A6EAD"/>
    <w:rsid w:val="002A7E4B"/>
    <w:rsid w:val="002B16DC"/>
    <w:rsid w:val="002B21E5"/>
    <w:rsid w:val="002B285A"/>
    <w:rsid w:val="002B470E"/>
    <w:rsid w:val="002B4848"/>
    <w:rsid w:val="002B5E35"/>
    <w:rsid w:val="002B5FE6"/>
    <w:rsid w:val="002B645E"/>
    <w:rsid w:val="002B6A19"/>
    <w:rsid w:val="002B705C"/>
    <w:rsid w:val="002B7252"/>
    <w:rsid w:val="002B7321"/>
    <w:rsid w:val="002C0C55"/>
    <w:rsid w:val="002C140A"/>
    <w:rsid w:val="002C37E9"/>
    <w:rsid w:val="002C45AF"/>
    <w:rsid w:val="002D0337"/>
    <w:rsid w:val="002D0CE1"/>
    <w:rsid w:val="002D1F5F"/>
    <w:rsid w:val="002D4EF4"/>
    <w:rsid w:val="002D5778"/>
    <w:rsid w:val="002D5FA7"/>
    <w:rsid w:val="002D659E"/>
    <w:rsid w:val="002D7089"/>
    <w:rsid w:val="002D743C"/>
    <w:rsid w:val="002E0F0B"/>
    <w:rsid w:val="002E20DE"/>
    <w:rsid w:val="002E2597"/>
    <w:rsid w:val="002E25CE"/>
    <w:rsid w:val="002E2D42"/>
    <w:rsid w:val="002E3DCA"/>
    <w:rsid w:val="002E53D2"/>
    <w:rsid w:val="002E7C0B"/>
    <w:rsid w:val="002F11B5"/>
    <w:rsid w:val="002F3353"/>
    <w:rsid w:val="002F50C4"/>
    <w:rsid w:val="002F609F"/>
    <w:rsid w:val="002F6DA2"/>
    <w:rsid w:val="00301002"/>
    <w:rsid w:val="00301C67"/>
    <w:rsid w:val="00303A56"/>
    <w:rsid w:val="00303B25"/>
    <w:rsid w:val="00303D6E"/>
    <w:rsid w:val="00304891"/>
    <w:rsid w:val="00307112"/>
    <w:rsid w:val="003106C1"/>
    <w:rsid w:val="00315482"/>
    <w:rsid w:val="003157A2"/>
    <w:rsid w:val="003161D4"/>
    <w:rsid w:val="0031777B"/>
    <w:rsid w:val="00317BFA"/>
    <w:rsid w:val="00320737"/>
    <w:rsid w:val="00320BEC"/>
    <w:rsid w:val="003214F3"/>
    <w:rsid w:val="00323CD5"/>
    <w:rsid w:val="00323F0E"/>
    <w:rsid w:val="00323FD2"/>
    <w:rsid w:val="003275A8"/>
    <w:rsid w:val="003278A3"/>
    <w:rsid w:val="00327CA4"/>
    <w:rsid w:val="0033184A"/>
    <w:rsid w:val="0033283F"/>
    <w:rsid w:val="00334C86"/>
    <w:rsid w:val="0034114B"/>
    <w:rsid w:val="003417CB"/>
    <w:rsid w:val="003445C6"/>
    <w:rsid w:val="0035340A"/>
    <w:rsid w:val="00360329"/>
    <w:rsid w:val="00360D86"/>
    <w:rsid w:val="00361AF3"/>
    <w:rsid w:val="003623C9"/>
    <w:rsid w:val="00362587"/>
    <w:rsid w:val="003628F5"/>
    <w:rsid w:val="00363926"/>
    <w:rsid w:val="00365F04"/>
    <w:rsid w:val="00366139"/>
    <w:rsid w:val="003711F8"/>
    <w:rsid w:val="003714C5"/>
    <w:rsid w:val="00372939"/>
    <w:rsid w:val="0037352D"/>
    <w:rsid w:val="00373D7D"/>
    <w:rsid w:val="00376343"/>
    <w:rsid w:val="00380E59"/>
    <w:rsid w:val="0038104A"/>
    <w:rsid w:val="00381F8C"/>
    <w:rsid w:val="0038296C"/>
    <w:rsid w:val="0038388E"/>
    <w:rsid w:val="00383A18"/>
    <w:rsid w:val="003844DB"/>
    <w:rsid w:val="003849DF"/>
    <w:rsid w:val="003870CD"/>
    <w:rsid w:val="00387E7F"/>
    <w:rsid w:val="00391E59"/>
    <w:rsid w:val="00391FA8"/>
    <w:rsid w:val="00392BE0"/>
    <w:rsid w:val="00394612"/>
    <w:rsid w:val="00394613"/>
    <w:rsid w:val="003948EC"/>
    <w:rsid w:val="00397FA8"/>
    <w:rsid w:val="003A0493"/>
    <w:rsid w:val="003A15C2"/>
    <w:rsid w:val="003A20AC"/>
    <w:rsid w:val="003A240C"/>
    <w:rsid w:val="003A6C0B"/>
    <w:rsid w:val="003B0C18"/>
    <w:rsid w:val="003B0C1A"/>
    <w:rsid w:val="003B3B09"/>
    <w:rsid w:val="003B457F"/>
    <w:rsid w:val="003B5D24"/>
    <w:rsid w:val="003B625C"/>
    <w:rsid w:val="003B6412"/>
    <w:rsid w:val="003B661C"/>
    <w:rsid w:val="003B708D"/>
    <w:rsid w:val="003B74DC"/>
    <w:rsid w:val="003C2487"/>
    <w:rsid w:val="003C2F8A"/>
    <w:rsid w:val="003C357C"/>
    <w:rsid w:val="003C49E3"/>
    <w:rsid w:val="003C591B"/>
    <w:rsid w:val="003C5C85"/>
    <w:rsid w:val="003C6EAF"/>
    <w:rsid w:val="003C7DCF"/>
    <w:rsid w:val="003D0404"/>
    <w:rsid w:val="003D091C"/>
    <w:rsid w:val="003D0D7C"/>
    <w:rsid w:val="003D2984"/>
    <w:rsid w:val="003D29E8"/>
    <w:rsid w:val="003D2DA3"/>
    <w:rsid w:val="003D3592"/>
    <w:rsid w:val="003D504D"/>
    <w:rsid w:val="003D5A20"/>
    <w:rsid w:val="003D6F30"/>
    <w:rsid w:val="003D77B9"/>
    <w:rsid w:val="003D7C6C"/>
    <w:rsid w:val="003E0515"/>
    <w:rsid w:val="003E21F9"/>
    <w:rsid w:val="003E32FA"/>
    <w:rsid w:val="003E4845"/>
    <w:rsid w:val="003E6279"/>
    <w:rsid w:val="003E6AE7"/>
    <w:rsid w:val="003F083F"/>
    <w:rsid w:val="003F1321"/>
    <w:rsid w:val="003F15FC"/>
    <w:rsid w:val="003F1A15"/>
    <w:rsid w:val="003F3D2C"/>
    <w:rsid w:val="003F408C"/>
    <w:rsid w:val="003F451F"/>
    <w:rsid w:val="003F456D"/>
    <w:rsid w:val="003F5B96"/>
    <w:rsid w:val="003F6B14"/>
    <w:rsid w:val="003F6DCC"/>
    <w:rsid w:val="004010ED"/>
    <w:rsid w:val="00402D7E"/>
    <w:rsid w:val="00406C7C"/>
    <w:rsid w:val="00406D5A"/>
    <w:rsid w:val="00406DCB"/>
    <w:rsid w:val="00406E1C"/>
    <w:rsid w:val="0041028A"/>
    <w:rsid w:val="004102AA"/>
    <w:rsid w:val="00411BCB"/>
    <w:rsid w:val="004135C3"/>
    <w:rsid w:val="00413A9D"/>
    <w:rsid w:val="00413BD9"/>
    <w:rsid w:val="00413C65"/>
    <w:rsid w:val="00416C63"/>
    <w:rsid w:val="00417D69"/>
    <w:rsid w:val="00420F65"/>
    <w:rsid w:val="0042113C"/>
    <w:rsid w:val="004255AD"/>
    <w:rsid w:val="0042581E"/>
    <w:rsid w:val="00425EE6"/>
    <w:rsid w:val="00427C76"/>
    <w:rsid w:val="004303DD"/>
    <w:rsid w:val="004313AF"/>
    <w:rsid w:val="00434C4E"/>
    <w:rsid w:val="00436392"/>
    <w:rsid w:val="00437D0A"/>
    <w:rsid w:val="00440634"/>
    <w:rsid w:val="00440C77"/>
    <w:rsid w:val="0044248D"/>
    <w:rsid w:val="00443483"/>
    <w:rsid w:val="00443670"/>
    <w:rsid w:val="00445647"/>
    <w:rsid w:val="00446893"/>
    <w:rsid w:val="00451673"/>
    <w:rsid w:val="0045219D"/>
    <w:rsid w:val="004527C7"/>
    <w:rsid w:val="0045472C"/>
    <w:rsid w:val="00455635"/>
    <w:rsid w:val="004610C7"/>
    <w:rsid w:val="00461205"/>
    <w:rsid w:val="00463DBB"/>
    <w:rsid w:val="00463FCE"/>
    <w:rsid w:val="004651D9"/>
    <w:rsid w:val="0046564B"/>
    <w:rsid w:val="004656AC"/>
    <w:rsid w:val="00465E72"/>
    <w:rsid w:val="004661A4"/>
    <w:rsid w:val="00466415"/>
    <w:rsid w:val="004672DC"/>
    <w:rsid w:val="004679AD"/>
    <w:rsid w:val="00467BBE"/>
    <w:rsid w:val="00470184"/>
    <w:rsid w:val="00471D5D"/>
    <w:rsid w:val="00471F9F"/>
    <w:rsid w:val="00475252"/>
    <w:rsid w:val="00475B52"/>
    <w:rsid w:val="00475E80"/>
    <w:rsid w:val="00475EAD"/>
    <w:rsid w:val="00475F14"/>
    <w:rsid w:val="00477406"/>
    <w:rsid w:val="00480BF8"/>
    <w:rsid w:val="00480CC3"/>
    <w:rsid w:val="00481917"/>
    <w:rsid w:val="004839A9"/>
    <w:rsid w:val="00483FA0"/>
    <w:rsid w:val="004870B1"/>
    <w:rsid w:val="00487391"/>
    <w:rsid w:val="004875B9"/>
    <w:rsid w:val="0048794F"/>
    <w:rsid w:val="00487A22"/>
    <w:rsid w:val="00490F46"/>
    <w:rsid w:val="004931BF"/>
    <w:rsid w:val="0049616B"/>
    <w:rsid w:val="00496E17"/>
    <w:rsid w:val="004972CF"/>
    <w:rsid w:val="00497926"/>
    <w:rsid w:val="004A0043"/>
    <w:rsid w:val="004A0514"/>
    <w:rsid w:val="004A0F5A"/>
    <w:rsid w:val="004A2CE6"/>
    <w:rsid w:val="004A53B9"/>
    <w:rsid w:val="004A64C7"/>
    <w:rsid w:val="004A7B8D"/>
    <w:rsid w:val="004B154C"/>
    <w:rsid w:val="004B1C1A"/>
    <w:rsid w:val="004B1F0B"/>
    <w:rsid w:val="004B2B87"/>
    <w:rsid w:val="004B2E40"/>
    <w:rsid w:val="004B35B4"/>
    <w:rsid w:val="004B55AB"/>
    <w:rsid w:val="004B5806"/>
    <w:rsid w:val="004B6D12"/>
    <w:rsid w:val="004B766E"/>
    <w:rsid w:val="004C035A"/>
    <w:rsid w:val="004C0F79"/>
    <w:rsid w:val="004C489A"/>
    <w:rsid w:val="004C511D"/>
    <w:rsid w:val="004C5444"/>
    <w:rsid w:val="004C71BF"/>
    <w:rsid w:val="004D103C"/>
    <w:rsid w:val="004D142B"/>
    <w:rsid w:val="004D4112"/>
    <w:rsid w:val="004D6ED4"/>
    <w:rsid w:val="004D7A44"/>
    <w:rsid w:val="004E0086"/>
    <w:rsid w:val="004E06D2"/>
    <w:rsid w:val="004E224D"/>
    <w:rsid w:val="004E2362"/>
    <w:rsid w:val="004E2F0C"/>
    <w:rsid w:val="004E4659"/>
    <w:rsid w:val="004E4C3E"/>
    <w:rsid w:val="004E578E"/>
    <w:rsid w:val="004E5E6B"/>
    <w:rsid w:val="004E6ED9"/>
    <w:rsid w:val="004E70C7"/>
    <w:rsid w:val="004F0789"/>
    <w:rsid w:val="004F0AB8"/>
    <w:rsid w:val="004F1D3C"/>
    <w:rsid w:val="004F308D"/>
    <w:rsid w:val="004F3A23"/>
    <w:rsid w:val="004F3B69"/>
    <w:rsid w:val="004F5053"/>
    <w:rsid w:val="004F5BDC"/>
    <w:rsid w:val="004F5F89"/>
    <w:rsid w:val="004F62E3"/>
    <w:rsid w:val="004F7AB5"/>
    <w:rsid w:val="005045EA"/>
    <w:rsid w:val="00504D55"/>
    <w:rsid w:val="0050570E"/>
    <w:rsid w:val="00506620"/>
    <w:rsid w:val="00506926"/>
    <w:rsid w:val="00510BB4"/>
    <w:rsid w:val="005110DB"/>
    <w:rsid w:val="00513DDD"/>
    <w:rsid w:val="0051526E"/>
    <w:rsid w:val="005203F5"/>
    <w:rsid w:val="005231BD"/>
    <w:rsid w:val="00523C71"/>
    <w:rsid w:val="0053132E"/>
    <w:rsid w:val="00540283"/>
    <w:rsid w:val="0054122F"/>
    <w:rsid w:val="00541BE1"/>
    <w:rsid w:val="00542062"/>
    <w:rsid w:val="005437B5"/>
    <w:rsid w:val="00543F78"/>
    <w:rsid w:val="0054479F"/>
    <w:rsid w:val="00544ACF"/>
    <w:rsid w:val="00545C14"/>
    <w:rsid w:val="00546994"/>
    <w:rsid w:val="005511CA"/>
    <w:rsid w:val="00551267"/>
    <w:rsid w:val="005527B8"/>
    <w:rsid w:val="005536F8"/>
    <w:rsid w:val="00553E5D"/>
    <w:rsid w:val="0055417E"/>
    <w:rsid w:val="0055785E"/>
    <w:rsid w:val="00557DC2"/>
    <w:rsid w:val="00561E00"/>
    <w:rsid w:val="00562D10"/>
    <w:rsid w:val="00565AD9"/>
    <w:rsid w:val="0056709C"/>
    <w:rsid w:val="00567B5A"/>
    <w:rsid w:val="00574E41"/>
    <w:rsid w:val="005750B0"/>
    <w:rsid w:val="005755C7"/>
    <w:rsid w:val="00576FC0"/>
    <w:rsid w:val="00577661"/>
    <w:rsid w:val="00577B6D"/>
    <w:rsid w:val="00581087"/>
    <w:rsid w:val="005811A3"/>
    <w:rsid w:val="005817B3"/>
    <w:rsid w:val="005821BB"/>
    <w:rsid w:val="00583A34"/>
    <w:rsid w:val="00586105"/>
    <w:rsid w:val="00587D54"/>
    <w:rsid w:val="005938B5"/>
    <w:rsid w:val="00595732"/>
    <w:rsid w:val="005A25CF"/>
    <w:rsid w:val="005A2CF8"/>
    <w:rsid w:val="005A3B88"/>
    <w:rsid w:val="005A4161"/>
    <w:rsid w:val="005A6407"/>
    <w:rsid w:val="005A663D"/>
    <w:rsid w:val="005A718C"/>
    <w:rsid w:val="005B1769"/>
    <w:rsid w:val="005B2A79"/>
    <w:rsid w:val="005B2ACA"/>
    <w:rsid w:val="005B38AF"/>
    <w:rsid w:val="005B4309"/>
    <w:rsid w:val="005B684A"/>
    <w:rsid w:val="005C1E16"/>
    <w:rsid w:val="005C2457"/>
    <w:rsid w:val="005C5342"/>
    <w:rsid w:val="005C64C1"/>
    <w:rsid w:val="005C6606"/>
    <w:rsid w:val="005C6F0B"/>
    <w:rsid w:val="005C7627"/>
    <w:rsid w:val="005D003F"/>
    <w:rsid w:val="005D0360"/>
    <w:rsid w:val="005D0C17"/>
    <w:rsid w:val="005D0C4F"/>
    <w:rsid w:val="005D10C8"/>
    <w:rsid w:val="005D1E70"/>
    <w:rsid w:val="005D25AE"/>
    <w:rsid w:val="005D4987"/>
    <w:rsid w:val="005D5661"/>
    <w:rsid w:val="005E388E"/>
    <w:rsid w:val="005E3E6A"/>
    <w:rsid w:val="005E5BDF"/>
    <w:rsid w:val="005F2018"/>
    <w:rsid w:val="005F2771"/>
    <w:rsid w:val="005F3493"/>
    <w:rsid w:val="005F38F6"/>
    <w:rsid w:val="005F3A52"/>
    <w:rsid w:val="005F6BD7"/>
    <w:rsid w:val="005F6CD8"/>
    <w:rsid w:val="005F7245"/>
    <w:rsid w:val="00601135"/>
    <w:rsid w:val="006015B8"/>
    <w:rsid w:val="00603C74"/>
    <w:rsid w:val="00603FE0"/>
    <w:rsid w:val="00603FF0"/>
    <w:rsid w:val="0060439B"/>
    <w:rsid w:val="00604514"/>
    <w:rsid w:val="00607932"/>
    <w:rsid w:val="00607CE4"/>
    <w:rsid w:val="006122E7"/>
    <w:rsid w:val="00612B0A"/>
    <w:rsid w:val="00613819"/>
    <w:rsid w:val="00614DDA"/>
    <w:rsid w:val="0061615C"/>
    <w:rsid w:val="00617681"/>
    <w:rsid w:val="00623393"/>
    <w:rsid w:val="00626E0A"/>
    <w:rsid w:val="00627AEC"/>
    <w:rsid w:val="00630641"/>
    <w:rsid w:val="0063256C"/>
    <w:rsid w:val="00632C85"/>
    <w:rsid w:val="006333A9"/>
    <w:rsid w:val="00634684"/>
    <w:rsid w:val="00634A60"/>
    <w:rsid w:val="006355F4"/>
    <w:rsid w:val="00636DF4"/>
    <w:rsid w:val="006371A9"/>
    <w:rsid w:val="00641261"/>
    <w:rsid w:val="006418CA"/>
    <w:rsid w:val="00641F0A"/>
    <w:rsid w:val="006446C3"/>
    <w:rsid w:val="0064667B"/>
    <w:rsid w:val="00646F16"/>
    <w:rsid w:val="006473AE"/>
    <w:rsid w:val="00647DD5"/>
    <w:rsid w:val="00650A49"/>
    <w:rsid w:val="00651387"/>
    <w:rsid w:val="00651ABE"/>
    <w:rsid w:val="006561C1"/>
    <w:rsid w:val="00657650"/>
    <w:rsid w:val="00660A60"/>
    <w:rsid w:val="00662CF2"/>
    <w:rsid w:val="00663B95"/>
    <w:rsid w:val="00663E8D"/>
    <w:rsid w:val="0066600D"/>
    <w:rsid w:val="006662EA"/>
    <w:rsid w:val="00667280"/>
    <w:rsid w:val="006706D5"/>
    <w:rsid w:val="00670A97"/>
    <w:rsid w:val="00672318"/>
    <w:rsid w:val="00672571"/>
    <w:rsid w:val="0067398A"/>
    <w:rsid w:val="00674BE2"/>
    <w:rsid w:val="00675169"/>
    <w:rsid w:val="0067553D"/>
    <w:rsid w:val="00675E90"/>
    <w:rsid w:val="00676EDF"/>
    <w:rsid w:val="006778EA"/>
    <w:rsid w:val="0068103D"/>
    <w:rsid w:val="0068300C"/>
    <w:rsid w:val="00683A50"/>
    <w:rsid w:val="00684316"/>
    <w:rsid w:val="00684A1B"/>
    <w:rsid w:val="0068731D"/>
    <w:rsid w:val="00687FA1"/>
    <w:rsid w:val="00690245"/>
    <w:rsid w:val="0069100B"/>
    <w:rsid w:val="0069105A"/>
    <w:rsid w:val="0069144C"/>
    <w:rsid w:val="0069155D"/>
    <w:rsid w:val="00692531"/>
    <w:rsid w:val="0069328D"/>
    <w:rsid w:val="006938AB"/>
    <w:rsid w:val="0069482A"/>
    <w:rsid w:val="00694A69"/>
    <w:rsid w:val="00694C8E"/>
    <w:rsid w:val="00695624"/>
    <w:rsid w:val="00695CB2"/>
    <w:rsid w:val="00695D24"/>
    <w:rsid w:val="00696F2A"/>
    <w:rsid w:val="006A2025"/>
    <w:rsid w:val="006A2F1D"/>
    <w:rsid w:val="006A4750"/>
    <w:rsid w:val="006A5262"/>
    <w:rsid w:val="006A5F3D"/>
    <w:rsid w:val="006A76A1"/>
    <w:rsid w:val="006B0EBC"/>
    <w:rsid w:val="006B470B"/>
    <w:rsid w:val="006B6885"/>
    <w:rsid w:val="006C111F"/>
    <w:rsid w:val="006C210F"/>
    <w:rsid w:val="006C2200"/>
    <w:rsid w:val="006C35F3"/>
    <w:rsid w:val="006C373D"/>
    <w:rsid w:val="006C3F49"/>
    <w:rsid w:val="006C43D4"/>
    <w:rsid w:val="006C5698"/>
    <w:rsid w:val="006C771E"/>
    <w:rsid w:val="006D39B0"/>
    <w:rsid w:val="006D5927"/>
    <w:rsid w:val="006D657F"/>
    <w:rsid w:val="006D6A33"/>
    <w:rsid w:val="006D6B0B"/>
    <w:rsid w:val="006D757B"/>
    <w:rsid w:val="006E155F"/>
    <w:rsid w:val="006E20DF"/>
    <w:rsid w:val="006E2CC6"/>
    <w:rsid w:val="006E59DA"/>
    <w:rsid w:val="006E7476"/>
    <w:rsid w:val="006E7B6E"/>
    <w:rsid w:val="006F0970"/>
    <w:rsid w:val="006F0A70"/>
    <w:rsid w:val="006F1D8C"/>
    <w:rsid w:val="006F2599"/>
    <w:rsid w:val="006F4F93"/>
    <w:rsid w:val="00700BF7"/>
    <w:rsid w:val="007027DD"/>
    <w:rsid w:val="00703397"/>
    <w:rsid w:val="007033CD"/>
    <w:rsid w:val="007041B4"/>
    <w:rsid w:val="0070531C"/>
    <w:rsid w:val="00707D2F"/>
    <w:rsid w:val="00711A51"/>
    <w:rsid w:val="00715F0F"/>
    <w:rsid w:val="00716C27"/>
    <w:rsid w:val="0071731E"/>
    <w:rsid w:val="00717F85"/>
    <w:rsid w:val="00720009"/>
    <w:rsid w:val="00721A28"/>
    <w:rsid w:val="00722890"/>
    <w:rsid w:val="00722A26"/>
    <w:rsid w:val="00723025"/>
    <w:rsid w:val="00725051"/>
    <w:rsid w:val="00727DDC"/>
    <w:rsid w:val="007307BD"/>
    <w:rsid w:val="0073160F"/>
    <w:rsid w:val="0073597C"/>
    <w:rsid w:val="00735C2D"/>
    <w:rsid w:val="00736B13"/>
    <w:rsid w:val="00737A9A"/>
    <w:rsid w:val="00740CBB"/>
    <w:rsid w:val="00741A9D"/>
    <w:rsid w:val="0074271D"/>
    <w:rsid w:val="0074389A"/>
    <w:rsid w:val="00744B1B"/>
    <w:rsid w:val="007463B8"/>
    <w:rsid w:val="00746BF4"/>
    <w:rsid w:val="007478F3"/>
    <w:rsid w:val="007479B8"/>
    <w:rsid w:val="00750878"/>
    <w:rsid w:val="00750ED9"/>
    <w:rsid w:val="0075202F"/>
    <w:rsid w:val="00752A77"/>
    <w:rsid w:val="007557EC"/>
    <w:rsid w:val="00755B89"/>
    <w:rsid w:val="007560C6"/>
    <w:rsid w:val="007567C5"/>
    <w:rsid w:val="00760516"/>
    <w:rsid w:val="00761A70"/>
    <w:rsid w:val="007625A4"/>
    <w:rsid w:val="00763097"/>
    <w:rsid w:val="00767A5B"/>
    <w:rsid w:val="00767B8B"/>
    <w:rsid w:val="00767E35"/>
    <w:rsid w:val="00770E46"/>
    <w:rsid w:val="00772D31"/>
    <w:rsid w:val="007731CD"/>
    <w:rsid w:val="00773782"/>
    <w:rsid w:val="00775805"/>
    <w:rsid w:val="00775FC1"/>
    <w:rsid w:val="00776AF7"/>
    <w:rsid w:val="007817BD"/>
    <w:rsid w:val="00782B2D"/>
    <w:rsid w:val="00782B6E"/>
    <w:rsid w:val="00787191"/>
    <w:rsid w:val="007878FA"/>
    <w:rsid w:val="00792F74"/>
    <w:rsid w:val="00795DC4"/>
    <w:rsid w:val="00796E16"/>
    <w:rsid w:val="0079711B"/>
    <w:rsid w:val="00797AD3"/>
    <w:rsid w:val="007A17F4"/>
    <w:rsid w:val="007A1956"/>
    <w:rsid w:val="007A1E6E"/>
    <w:rsid w:val="007A2D60"/>
    <w:rsid w:val="007A44A7"/>
    <w:rsid w:val="007A462E"/>
    <w:rsid w:val="007A55BB"/>
    <w:rsid w:val="007A5B57"/>
    <w:rsid w:val="007A7EA2"/>
    <w:rsid w:val="007B0118"/>
    <w:rsid w:val="007B1BE7"/>
    <w:rsid w:val="007B2B62"/>
    <w:rsid w:val="007B51BF"/>
    <w:rsid w:val="007B687A"/>
    <w:rsid w:val="007C11C1"/>
    <w:rsid w:val="007C2E52"/>
    <w:rsid w:val="007C3E8B"/>
    <w:rsid w:val="007C57DA"/>
    <w:rsid w:val="007C6068"/>
    <w:rsid w:val="007C6A35"/>
    <w:rsid w:val="007C78CA"/>
    <w:rsid w:val="007C7EFD"/>
    <w:rsid w:val="007D10D5"/>
    <w:rsid w:val="007D26E2"/>
    <w:rsid w:val="007D4A3D"/>
    <w:rsid w:val="007D6159"/>
    <w:rsid w:val="007D6471"/>
    <w:rsid w:val="007D78CB"/>
    <w:rsid w:val="007D7A5D"/>
    <w:rsid w:val="007E123E"/>
    <w:rsid w:val="007E3146"/>
    <w:rsid w:val="007E35DD"/>
    <w:rsid w:val="007F149A"/>
    <w:rsid w:val="007F2F3E"/>
    <w:rsid w:val="007F3887"/>
    <w:rsid w:val="007F3F60"/>
    <w:rsid w:val="007F5FB5"/>
    <w:rsid w:val="007F625C"/>
    <w:rsid w:val="007F719F"/>
    <w:rsid w:val="0080494E"/>
    <w:rsid w:val="00804A4D"/>
    <w:rsid w:val="008058D0"/>
    <w:rsid w:val="0080695A"/>
    <w:rsid w:val="00814BBB"/>
    <w:rsid w:val="00815641"/>
    <w:rsid w:val="00817A62"/>
    <w:rsid w:val="00817AF4"/>
    <w:rsid w:val="008203AC"/>
    <w:rsid w:val="0082108F"/>
    <w:rsid w:val="00821DCB"/>
    <w:rsid w:val="00823496"/>
    <w:rsid w:val="0082438B"/>
    <w:rsid w:val="008260C1"/>
    <w:rsid w:val="0082666D"/>
    <w:rsid w:val="008268EB"/>
    <w:rsid w:val="008313D6"/>
    <w:rsid w:val="00832062"/>
    <w:rsid w:val="0083346A"/>
    <w:rsid w:val="00833AF9"/>
    <w:rsid w:val="0083506A"/>
    <w:rsid w:val="00835EEB"/>
    <w:rsid w:val="0083759D"/>
    <w:rsid w:val="00837A77"/>
    <w:rsid w:val="00837E88"/>
    <w:rsid w:val="008433F5"/>
    <w:rsid w:val="008444BC"/>
    <w:rsid w:val="00845844"/>
    <w:rsid w:val="00847B4A"/>
    <w:rsid w:val="00851963"/>
    <w:rsid w:val="00852B03"/>
    <w:rsid w:val="00852CF0"/>
    <w:rsid w:val="0085426D"/>
    <w:rsid w:val="00856DE1"/>
    <w:rsid w:val="008605A3"/>
    <w:rsid w:val="008610EF"/>
    <w:rsid w:val="008612A5"/>
    <w:rsid w:val="008618B3"/>
    <w:rsid w:val="00862D39"/>
    <w:rsid w:val="0086332A"/>
    <w:rsid w:val="00864087"/>
    <w:rsid w:val="00865966"/>
    <w:rsid w:val="00866BE5"/>
    <w:rsid w:val="0086779E"/>
    <w:rsid w:val="00867F47"/>
    <w:rsid w:val="008712F2"/>
    <w:rsid w:val="00871567"/>
    <w:rsid w:val="0087172F"/>
    <w:rsid w:val="00872415"/>
    <w:rsid w:val="00872446"/>
    <w:rsid w:val="008732FB"/>
    <w:rsid w:val="00873BCE"/>
    <w:rsid w:val="00874109"/>
    <w:rsid w:val="008751E3"/>
    <w:rsid w:val="00875761"/>
    <w:rsid w:val="00875A01"/>
    <w:rsid w:val="00876D99"/>
    <w:rsid w:val="00877675"/>
    <w:rsid w:val="00880FE6"/>
    <w:rsid w:val="00884708"/>
    <w:rsid w:val="00884B4D"/>
    <w:rsid w:val="00887811"/>
    <w:rsid w:val="00887876"/>
    <w:rsid w:val="008916A5"/>
    <w:rsid w:val="00893926"/>
    <w:rsid w:val="0089514E"/>
    <w:rsid w:val="00895F49"/>
    <w:rsid w:val="0089626A"/>
    <w:rsid w:val="00897D80"/>
    <w:rsid w:val="008A09A4"/>
    <w:rsid w:val="008A14DC"/>
    <w:rsid w:val="008A1B71"/>
    <w:rsid w:val="008A2712"/>
    <w:rsid w:val="008A2B50"/>
    <w:rsid w:val="008A42F3"/>
    <w:rsid w:val="008A4CEB"/>
    <w:rsid w:val="008A5A3D"/>
    <w:rsid w:val="008A6A44"/>
    <w:rsid w:val="008A6E99"/>
    <w:rsid w:val="008B01A7"/>
    <w:rsid w:val="008B1344"/>
    <w:rsid w:val="008B2FE5"/>
    <w:rsid w:val="008B3137"/>
    <w:rsid w:val="008B6150"/>
    <w:rsid w:val="008B63B5"/>
    <w:rsid w:val="008B6B00"/>
    <w:rsid w:val="008B6DAC"/>
    <w:rsid w:val="008B7531"/>
    <w:rsid w:val="008B7F3A"/>
    <w:rsid w:val="008C04D3"/>
    <w:rsid w:val="008C1F44"/>
    <w:rsid w:val="008C2EE5"/>
    <w:rsid w:val="008C39DF"/>
    <w:rsid w:val="008C459D"/>
    <w:rsid w:val="008D01B9"/>
    <w:rsid w:val="008D149A"/>
    <w:rsid w:val="008D1C95"/>
    <w:rsid w:val="008D395F"/>
    <w:rsid w:val="008D543F"/>
    <w:rsid w:val="008D74A2"/>
    <w:rsid w:val="008D7500"/>
    <w:rsid w:val="008D7DEF"/>
    <w:rsid w:val="008E58E5"/>
    <w:rsid w:val="008E59BA"/>
    <w:rsid w:val="008E6051"/>
    <w:rsid w:val="008E6247"/>
    <w:rsid w:val="008E6D7F"/>
    <w:rsid w:val="008E6DBB"/>
    <w:rsid w:val="008E77C3"/>
    <w:rsid w:val="008F0A3A"/>
    <w:rsid w:val="008F1312"/>
    <w:rsid w:val="008F15C0"/>
    <w:rsid w:val="008F1B21"/>
    <w:rsid w:val="008F2B4C"/>
    <w:rsid w:val="008F2F2D"/>
    <w:rsid w:val="008F4BE6"/>
    <w:rsid w:val="008F4CC2"/>
    <w:rsid w:val="008F59E8"/>
    <w:rsid w:val="008F623F"/>
    <w:rsid w:val="008F7B70"/>
    <w:rsid w:val="00900472"/>
    <w:rsid w:val="009004A5"/>
    <w:rsid w:val="009013D2"/>
    <w:rsid w:val="009036C9"/>
    <w:rsid w:val="00903DF7"/>
    <w:rsid w:val="00904B93"/>
    <w:rsid w:val="009051C6"/>
    <w:rsid w:val="00905789"/>
    <w:rsid w:val="00905F64"/>
    <w:rsid w:val="009071D8"/>
    <w:rsid w:val="009077E4"/>
    <w:rsid w:val="0091037E"/>
    <w:rsid w:val="00910720"/>
    <w:rsid w:val="00910A80"/>
    <w:rsid w:val="0091159D"/>
    <w:rsid w:val="009121B4"/>
    <w:rsid w:val="009125B1"/>
    <w:rsid w:val="00913DC3"/>
    <w:rsid w:val="009169FA"/>
    <w:rsid w:val="009171F7"/>
    <w:rsid w:val="009206E7"/>
    <w:rsid w:val="00920B10"/>
    <w:rsid w:val="00921D41"/>
    <w:rsid w:val="00922D40"/>
    <w:rsid w:val="00923407"/>
    <w:rsid w:val="00924745"/>
    <w:rsid w:val="009273F2"/>
    <w:rsid w:val="00930D46"/>
    <w:rsid w:val="009312B9"/>
    <w:rsid w:val="00932024"/>
    <w:rsid w:val="00934EF6"/>
    <w:rsid w:val="0093611F"/>
    <w:rsid w:val="00936B2C"/>
    <w:rsid w:val="00936DA5"/>
    <w:rsid w:val="00937F58"/>
    <w:rsid w:val="00940F8D"/>
    <w:rsid w:val="00941574"/>
    <w:rsid w:val="0094170F"/>
    <w:rsid w:val="00941761"/>
    <w:rsid w:val="00945EC3"/>
    <w:rsid w:val="009472A9"/>
    <w:rsid w:val="0094797D"/>
    <w:rsid w:val="00947E60"/>
    <w:rsid w:val="0095057B"/>
    <w:rsid w:val="00951431"/>
    <w:rsid w:val="009538B8"/>
    <w:rsid w:val="0095391B"/>
    <w:rsid w:val="00953DBE"/>
    <w:rsid w:val="00953E99"/>
    <w:rsid w:val="009540DA"/>
    <w:rsid w:val="00955D3E"/>
    <w:rsid w:val="009563BA"/>
    <w:rsid w:val="009575B3"/>
    <w:rsid w:val="00961706"/>
    <w:rsid w:val="00961D47"/>
    <w:rsid w:val="00962BD5"/>
    <w:rsid w:val="00963497"/>
    <w:rsid w:val="009648C0"/>
    <w:rsid w:val="00965932"/>
    <w:rsid w:val="00966980"/>
    <w:rsid w:val="00967FB6"/>
    <w:rsid w:val="00971A54"/>
    <w:rsid w:val="009720F8"/>
    <w:rsid w:val="00972986"/>
    <w:rsid w:val="00974823"/>
    <w:rsid w:val="00977C67"/>
    <w:rsid w:val="0098218E"/>
    <w:rsid w:val="009826B0"/>
    <w:rsid w:val="00983755"/>
    <w:rsid w:val="00983C60"/>
    <w:rsid w:val="009878B4"/>
    <w:rsid w:val="00990075"/>
    <w:rsid w:val="00990F9F"/>
    <w:rsid w:val="009926B6"/>
    <w:rsid w:val="00993102"/>
    <w:rsid w:val="00994650"/>
    <w:rsid w:val="00996FB5"/>
    <w:rsid w:val="009A06B0"/>
    <w:rsid w:val="009A0FEF"/>
    <w:rsid w:val="009A1153"/>
    <w:rsid w:val="009A1F68"/>
    <w:rsid w:val="009A27AA"/>
    <w:rsid w:val="009A3662"/>
    <w:rsid w:val="009A47D2"/>
    <w:rsid w:val="009A66AC"/>
    <w:rsid w:val="009A681E"/>
    <w:rsid w:val="009B030C"/>
    <w:rsid w:val="009B0A9F"/>
    <w:rsid w:val="009B1711"/>
    <w:rsid w:val="009B5C01"/>
    <w:rsid w:val="009B778B"/>
    <w:rsid w:val="009B7FAA"/>
    <w:rsid w:val="009C3E6E"/>
    <w:rsid w:val="009C5F6C"/>
    <w:rsid w:val="009C608E"/>
    <w:rsid w:val="009C6564"/>
    <w:rsid w:val="009D20A9"/>
    <w:rsid w:val="009D30EA"/>
    <w:rsid w:val="009D45DF"/>
    <w:rsid w:val="009D593C"/>
    <w:rsid w:val="009D727D"/>
    <w:rsid w:val="009D7582"/>
    <w:rsid w:val="009E0823"/>
    <w:rsid w:val="009E0BE5"/>
    <w:rsid w:val="009E10FF"/>
    <w:rsid w:val="009E3782"/>
    <w:rsid w:val="009E51B1"/>
    <w:rsid w:val="009E5571"/>
    <w:rsid w:val="009E56A6"/>
    <w:rsid w:val="009E7D10"/>
    <w:rsid w:val="009F0E64"/>
    <w:rsid w:val="009F1385"/>
    <w:rsid w:val="009F2DD3"/>
    <w:rsid w:val="009F388B"/>
    <w:rsid w:val="009F39A2"/>
    <w:rsid w:val="009F3CFF"/>
    <w:rsid w:val="009F4746"/>
    <w:rsid w:val="009F4CAA"/>
    <w:rsid w:val="009F523E"/>
    <w:rsid w:val="009F5B29"/>
    <w:rsid w:val="009F6A81"/>
    <w:rsid w:val="009F744D"/>
    <w:rsid w:val="009F7F2A"/>
    <w:rsid w:val="00A00016"/>
    <w:rsid w:val="00A050C1"/>
    <w:rsid w:val="00A0793F"/>
    <w:rsid w:val="00A1024F"/>
    <w:rsid w:val="00A10CAF"/>
    <w:rsid w:val="00A134E1"/>
    <w:rsid w:val="00A14D63"/>
    <w:rsid w:val="00A15628"/>
    <w:rsid w:val="00A15FE9"/>
    <w:rsid w:val="00A17697"/>
    <w:rsid w:val="00A20C12"/>
    <w:rsid w:val="00A2185B"/>
    <w:rsid w:val="00A239EA"/>
    <w:rsid w:val="00A2439B"/>
    <w:rsid w:val="00A2649B"/>
    <w:rsid w:val="00A268A6"/>
    <w:rsid w:val="00A270BF"/>
    <w:rsid w:val="00A3053E"/>
    <w:rsid w:val="00A30DC3"/>
    <w:rsid w:val="00A31560"/>
    <w:rsid w:val="00A330D3"/>
    <w:rsid w:val="00A336D3"/>
    <w:rsid w:val="00A33DF3"/>
    <w:rsid w:val="00A35E26"/>
    <w:rsid w:val="00A40861"/>
    <w:rsid w:val="00A43269"/>
    <w:rsid w:val="00A43FC4"/>
    <w:rsid w:val="00A4437F"/>
    <w:rsid w:val="00A454F7"/>
    <w:rsid w:val="00A46A9F"/>
    <w:rsid w:val="00A46FD4"/>
    <w:rsid w:val="00A47462"/>
    <w:rsid w:val="00A4772F"/>
    <w:rsid w:val="00A4784E"/>
    <w:rsid w:val="00A47CD7"/>
    <w:rsid w:val="00A50C7B"/>
    <w:rsid w:val="00A5289B"/>
    <w:rsid w:val="00A530F6"/>
    <w:rsid w:val="00A5441B"/>
    <w:rsid w:val="00A553D2"/>
    <w:rsid w:val="00A55D40"/>
    <w:rsid w:val="00A56C24"/>
    <w:rsid w:val="00A62FE9"/>
    <w:rsid w:val="00A63421"/>
    <w:rsid w:val="00A634B8"/>
    <w:rsid w:val="00A6515C"/>
    <w:rsid w:val="00A719F4"/>
    <w:rsid w:val="00A72472"/>
    <w:rsid w:val="00A74C9D"/>
    <w:rsid w:val="00A75917"/>
    <w:rsid w:val="00A825D7"/>
    <w:rsid w:val="00A84A0B"/>
    <w:rsid w:val="00A85B19"/>
    <w:rsid w:val="00A861C5"/>
    <w:rsid w:val="00A87A11"/>
    <w:rsid w:val="00A90013"/>
    <w:rsid w:val="00A9191E"/>
    <w:rsid w:val="00A92248"/>
    <w:rsid w:val="00A932C4"/>
    <w:rsid w:val="00A9445E"/>
    <w:rsid w:val="00A96E2F"/>
    <w:rsid w:val="00AA0630"/>
    <w:rsid w:val="00AA0F99"/>
    <w:rsid w:val="00AA3415"/>
    <w:rsid w:val="00AA5E67"/>
    <w:rsid w:val="00AA62A0"/>
    <w:rsid w:val="00AA63E3"/>
    <w:rsid w:val="00AA684C"/>
    <w:rsid w:val="00AA6EE7"/>
    <w:rsid w:val="00AB0117"/>
    <w:rsid w:val="00AB0500"/>
    <w:rsid w:val="00AB43DA"/>
    <w:rsid w:val="00AB4464"/>
    <w:rsid w:val="00AB4A4F"/>
    <w:rsid w:val="00AB5FF3"/>
    <w:rsid w:val="00AB623E"/>
    <w:rsid w:val="00AB6CF0"/>
    <w:rsid w:val="00AC0759"/>
    <w:rsid w:val="00AC24F0"/>
    <w:rsid w:val="00AC262C"/>
    <w:rsid w:val="00AC3565"/>
    <w:rsid w:val="00AC4135"/>
    <w:rsid w:val="00AC6252"/>
    <w:rsid w:val="00AC75CC"/>
    <w:rsid w:val="00AD0419"/>
    <w:rsid w:val="00AD15E6"/>
    <w:rsid w:val="00AD164C"/>
    <w:rsid w:val="00AD1FF3"/>
    <w:rsid w:val="00AD278C"/>
    <w:rsid w:val="00AD2D8B"/>
    <w:rsid w:val="00AD30AB"/>
    <w:rsid w:val="00AD374E"/>
    <w:rsid w:val="00AD5E71"/>
    <w:rsid w:val="00AE1538"/>
    <w:rsid w:val="00AE1970"/>
    <w:rsid w:val="00AE30D3"/>
    <w:rsid w:val="00AE3880"/>
    <w:rsid w:val="00AF0543"/>
    <w:rsid w:val="00AF1218"/>
    <w:rsid w:val="00AF1878"/>
    <w:rsid w:val="00AF2F4F"/>
    <w:rsid w:val="00AF3067"/>
    <w:rsid w:val="00AF3F54"/>
    <w:rsid w:val="00AF45B5"/>
    <w:rsid w:val="00AF5D62"/>
    <w:rsid w:val="00B01AEE"/>
    <w:rsid w:val="00B02A61"/>
    <w:rsid w:val="00B03A03"/>
    <w:rsid w:val="00B07CA1"/>
    <w:rsid w:val="00B10A71"/>
    <w:rsid w:val="00B11ACA"/>
    <w:rsid w:val="00B12792"/>
    <w:rsid w:val="00B13E29"/>
    <w:rsid w:val="00B13FC4"/>
    <w:rsid w:val="00B1501A"/>
    <w:rsid w:val="00B15A09"/>
    <w:rsid w:val="00B17908"/>
    <w:rsid w:val="00B21D1F"/>
    <w:rsid w:val="00B21D30"/>
    <w:rsid w:val="00B22B5B"/>
    <w:rsid w:val="00B22F63"/>
    <w:rsid w:val="00B278D0"/>
    <w:rsid w:val="00B30A42"/>
    <w:rsid w:val="00B314C3"/>
    <w:rsid w:val="00B366D1"/>
    <w:rsid w:val="00B369D7"/>
    <w:rsid w:val="00B36B08"/>
    <w:rsid w:val="00B36CE8"/>
    <w:rsid w:val="00B36EB3"/>
    <w:rsid w:val="00B37092"/>
    <w:rsid w:val="00B372D7"/>
    <w:rsid w:val="00B407F9"/>
    <w:rsid w:val="00B419C1"/>
    <w:rsid w:val="00B422E0"/>
    <w:rsid w:val="00B4386F"/>
    <w:rsid w:val="00B45460"/>
    <w:rsid w:val="00B45B77"/>
    <w:rsid w:val="00B477D5"/>
    <w:rsid w:val="00B5058C"/>
    <w:rsid w:val="00B51FF1"/>
    <w:rsid w:val="00B532A4"/>
    <w:rsid w:val="00B543C7"/>
    <w:rsid w:val="00B54409"/>
    <w:rsid w:val="00B5536E"/>
    <w:rsid w:val="00B56234"/>
    <w:rsid w:val="00B56961"/>
    <w:rsid w:val="00B56C19"/>
    <w:rsid w:val="00B60207"/>
    <w:rsid w:val="00B6114C"/>
    <w:rsid w:val="00B6355A"/>
    <w:rsid w:val="00B637CB"/>
    <w:rsid w:val="00B63C47"/>
    <w:rsid w:val="00B645BC"/>
    <w:rsid w:val="00B654E7"/>
    <w:rsid w:val="00B7190F"/>
    <w:rsid w:val="00B71912"/>
    <w:rsid w:val="00B76560"/>
    <w:rsid w:val="00B76A35"/>
    <w:rsid w:val="00B76B8D"/>
    <w:rsid w:val="00B7700D"/>
    <w:rsid w:val="00B83A6C"/>
    <w:rsid w:val="00B84B7C"/>
    <w:rsid w:val="00B85556"/>
    <w:rsid w:val="00B85656"/>
    <w:rsid w:val="00B86F45"/>
    <w:rsid w:val="00B916AE"/>
    <w:rsid w:val="00B9196E"/>
    <w:rsid w:val="00B92F48"/>
    <w:rsid w:val="00B941B7"/>
    <w:rsid w:val="00B9620B"/>
    <w:rsid w:val="00B96333"/>
    <w:rsid w:val="00B97A54"/>
    <w:rsid w:val="00BA0350"/>
    <w:rsid w:val="00BA1E6D"/>
    <w:rsid w:val="00BB155A"/>
    <w:rsid w:val="00BB340A"/>
    <w:rsid w:val="00BB5967"/>
    <w:rsid w:val="00BB74C4"/>
    <w:rsid w:val="00BB7923"/>
    <w:rsid w:val="00BB7D71"/>
    <w:rsid w:val="00BC0178"/>
    <w:rsid w:val="00BC06A5"/>
    <w:rsid w:val="00BC2367"/>
    <w:rsid w:val="00BC242F"/>
    <w:rsid w:val="00BC39D0"/>
    <w:rsid w:val="00BC4221"/>
    <w:rsid w:val="00BC422C"/>
    <w:rsid w:val="00BC5129"/>
    <w:rsid w:val="00BC66B2"/>
    <w:rsid w:val="00BC6E7A"/>
    <w:rsid w:val="00BC72D9"/>
    <w:rsid w:val="00BC7C54"/>
    <w:rsid w:val="00BC7FC9"/>
    <w:rsid w:val="00BD1C19"/>
    <w:rsid w:val="00BD2009"/>
    <w:rsid w:val="00BD3228"/>
    <w:rsid w:val="00BD467B"/>
    <w:rsid w:val="00BD5034"/>
    <w:rsid w:val="00BD57EA"/>
    <w:rsid w:val="00BD6469"/>
    <w:rsid w:val="00BE1A2E"/>
    <w:rsid w:val="00BE2B02"/>
    <w:rsid w:val="00BE3455"/>
    <w:rsid w:val="00BE517F"/>
    <w:rsid w:val="00BE53CB"/>
    <w:rsid w:val="00BE6F40"/>
    <w:rsid w:val="00BE71FF"/>
    <w:rsid w:val="00BE78A6"/>
    <w:rsid w:val="00BF05D7"/>
    <w:rsid w:val="00BF1033"/>
    <w:rsid w:val="00BF27A5"/>
    <w:rsid w:val="00BF44C4"/>
    <w:rsid w:val="00BF4B75"/>
    <w:rsid w:val="00BF5421"/>
    <w:rsid w:val="00BF6D73"/>
    <w:rsid w:val="00C011E6"/>
    <w:rsid w:val="00C02164"/>
    <w:rsid w:val="00C029E3"/>
    <w:rsid w:val="00C02F89"/>
    <w:rsid w:val="00C042D4"/>
    <w:rsid w:val="00C056FF"/>
    <w:rsid w:val="00C101F4"/>
    <w:rsid w:val="00C10964"/>
    <w:rsid w:val="00C11D4D"/>
    <w:rsid w:val="00C13778"/>
    <w:rsid w:val="00C14266"/>
    <w:rsid w:val="00C220A9"/>
    <w:rsid w:val="00C22309"/>
    <w:rsid w:val="00C23BB8"/>
    <w:rsid w:val="00C23E7F"/>
    <w:rsid w:val="00C263FE"/>
    <w:rsid w:val="00C2762A"/>
    <w:rsid w:val="00C27C87"/>
    <w:rsid w:val="00C27D37"/>
    <w:rsid w:val="00C3016D"/>
    <w:rsid w:val="00C31F35"/>
    <w:rsid w:val="00C33A42"/>
    <w:rsid w:val="00C3605F"/>
    <w:rsid w:val="00C405D9"/>
    <w:rsid w:val="00C4190F"/>
    <w:rsid w:val="00C41B40"/>
    <w:rsid w:val="00C43075"/>
    <w:rsid w:val="00C43385"/>
    <w:rsid w:val="00C43623"/>
    <w:rsid w:val="00C44F9C"/>
    <w:rsid w:val="00C45411"/>
    <w:rsid w:val="00C457BE"/>
    <w:rsid w:val="00C45F4A"/>
    <w:rsid w:val="00C461D5"/>
    <w:rsid w:val="00C47EF5"/>
    <w:rsid w:val="00C500CB"/>
    <w:rsid w:val="00C50854"/>
    <w:rsid w:val="00C50A73"/>
    <w:rsid w:val="00C5157D"/>
    <w:rsid w:val="00C528A1"/>
    <w:rsid w:val="00C52ABC"/>
    <w:rsid w:val="00C5626B"/>
    <w:rsid w:val="00C569F0"/>
    <w:rsid w:val="00C57BA2"/>
    <w:rsid w:val="00C57BAF"/>
    <w:rsid w:val="00C607A0"/>
    <w:rsid w:val="00C6081C"/>
    <w:rsid w:val="00C60881"/>
    <w:rsid w:val="00C62D7B"/>
    <w:rsid w:val="00C62EC1"/>
    <w:rsid w:val="00C637E1"/>
    <w:rsid w:val="00C65136"/>
    <w:rsid w:val="00C70019"/>
    <w:rsid w:val="00C709F4"/>
    <w:rsid w:val="00C70FC8"/>
    <w:rsid w:val="00C71506"/>
    <w:rsid w:val="00C71EEC"/>
    <w:rsid w:val="00C74468"/>
    <w:rsid w:val="00C75A32"/>
    <w:rsid w:val="00C77F8D"/>
    <w:rsid w:val="00C81A4A"/>
    <w:rsid w:val="00C83F8E"/>
    <w:rsid w:val="00C87171"/>
    <w:rsid w:val="00C90271"/>
    <w:rsid w:val="00C9108A"/>
    <w:rsid w:val="00C913A3"/>
    <w:rsid w:val="00C92876"/>
    <w:rsid w:val="00C93851"/>
    <w:rsid w:val="00C93E0D"/>
    <w:rsid w:val="00C93E12"/>
    <w:rsid w:val="00C93FFA"/>
    <w:rsid w:val="00C95E57"/>
    <w:rsid w:val="00C9624B"/>
    <w:rsid w:val="00C9783E"/>
    <w:rsid w:val="00CA1247"/>
    <w:rsid w:val="00CA1302"/>
    <w:rsid w:val="00CA216D"/>
    <w:rsid w:val="00CA271B"/>
    <w:rsid w:val="00CA32A8"/>
    <w:rsid w:val="00CA5287"/>
    <w:rsid w:val="00CA5597"/>
    <w:rsid w:val="00CA67F2"/>
    <w:rsid w:val="00CA7008"/>
    <w:rsid w:val="00CB233A"/>
    <w:rsid w:val="00CB34F8"/>
    <w:rsid w:val="00CB3567"/>
    <w:rsid w:val="00CB4F36"/>
    <w:rsid w:val="00CB4F7F"/>
    <w:rsid w:val="00CB57EE"/>
    <w:rsid w:val="00CB74DA"/>
    <w:rsid w:val="00CB7A2D"/>
    <w:rsid w:val="00CC016F"/>
    <w:rsid w:val="00CC25C1"/>
    <w:rsid w:val="00CC4198"/>
    <w:rsid w:val="00CC4BD0"/>
    <w:rsid w:val="00CC561E"/>
    <w:rsid w:val="00CC6528"/>
    <w:rsid w:val="00CC7B33"/>
    <w:rsid w:val="00CD0452"/>
    <w:rsid w:val="00CD181A"/>
    <w:rsid w:val="00CD31A5"/>
    <w:rsid w:val="00CD530A"/>
    <w:rsid w:val="00CD78AE"/>
    <w:rsid w:val="00CD7A44"/>
    <w:rsid w:val="00CE34FA"/>
    <w:rsid w:val="00CE410F"/>
    <w:rsid w:val="00CE7847"/>
    <w:rsid w:val="00CF06C7"/>
    <w:rsid w:val="00CF2FB7"/>
    <w:rsid w:val="00CF6176"/>
    <w:rsid w:val="00D0043F"/>
    <w:rsid w:val="00D01565"/>
    <w:rsid w:val="00D023DE"/>
    <w:rsid w:val="00D02F83"/>
    <w:rsid w:val="00D0464B"/>
    <w:rsid w:val="00D05CD3"/>
    <w:rsid w:val="00D10176"/>
    <w:rsid w:val="00D1074A"/>
    <w:rsid w:val="00D10BA4"/>
    <w:rsid w:val="00D14E8B"/>
    <w:rsid w:val="00D14FA1"/>
    <w:rsid w:val="00D16D1C"/>
    <w:rsid w:val="00D17718"/>
    <w:rsid w:val="00D21AD7"/>
    <w:rsid w:val="00D25548"/>
    <w:rsid w:val="00D2583B"/>
    <w:rsid w:val="00D25D83"/>
    <w:rsid w:val="00D264FA"/>
    <w:rsid w:val="00D2757D"/>
    <w:rsid w:val="00D27825"/>
    <w:rsid w:val="00D305CE"/>
    <w:rsid w:val="00D32636"/>
    <w:rsid w:val="00D33F92"/>
    <w:rsid w:val="00D34BC9"/>
    <w:rsid w:val="00D34C56"/>
    <w:rsid w:val="00D36815"/>
    <w:rsid w:val="00D36DD9"/>
    <w:rsid w:val="00D406E4"/>
    <w:rsid w:val="00D40824"/>
    <w:rsid w:val="00D423F8"/>
    <w:rsid w:val="00D46243"/>
    <w:rsid w:val="00D467D3"/>
    <w:rsid w:val="00D4704C"/>
    <w:rsid w:val="00D505F5"/>
    <w:rsid w:val="00D50D5A"/>
    <w:rsid w:val="00D51D0E"/>
    <w:rsid w:val="00D54F3F"/>
    <w:rsid w:val="00D5647B"/>
    <w:rsid w:val="00D608F3"/>
    <w:rsid w:val="00D61009"/>
    <w:rsid w:val="00D629E8"/>
    <w:rsid w:val="00D63D97"/>
    <w:rsid w:val="00D6461B"/>
    <w:rsid w:val="00D64E90"/>
    <w:rsid w:val="00D6554D"/>
    <w:rsid w:val="00D655AE"/>
    <w:rsid w:val="00D65BC7"/>
    <w:rsid w:val="00D668B0"/>
    <w:rsid w:val="00D66C68"/>
    <w:rsid w:val="00D709E9"/>
    <w:rsid w:val="00D7381F"/>
    <w:rsid w:val="00D74469"/>
    <w:rsid w:val="00D749F5"/>
    <w:rsid w:val="00D74D44"/>
    <w:rsid w:val="00D7668D"/>
    <w:rsid w:val="00D76F96"/>
    <w:rsid w:val="00D801F9"/>
    <w:rsid w:val="00D80510"/>
    <w:rsid w:val="00D80F1A"/>
    <w:rsid w:val="00D81A86"/>
    <w:rsid w:val="00D82648"/>
    <w:rsid w:val="00D8365D"/>
    <w:rsid w:val="00D8424F"/>
    <w:rsid w:val="00D84C3D"/>
    <w:rsid w:val="00D879D8"/>
    <w:rsid w:val="00D94395"/>
    <w:rsid w:val="00D95C68"/>
    <w:rsid w:val="00D95FD4"/>
    <w:rsid w:val="00D960DA"/>
    <w:rsid w:val="00D979EA"/>
    <w:rsid w:val="00D97A6C"/>
    <w:rsid w:val="00D97B59"/>
    <w:rsid w:val="00DA08E2"/>
    <w:rsid w:val="00DA0CF1"/>
    <w:rsid w:val="00DA262E"/>
    <w:rsid w:val="00DA2979"/>
    <w:rsid w:val="00DA37D5"/>
    <w:rsid w:val="00DA4680"/>
    <w:rsid w:val="00DA51C8"/>
    <w:rsid w:val="00DA5702"/>
    <w:rsid w:val="00DB38B4"/>
    <w:rsid w:val="00DB3E86"/>
    <w:rsid w:val="00DB5252"/>
    <w:rsid w:val="00DC1ED9"/>
    <w:rsid w:val="00DC20ED"/>
    <w:rsid w:val="00DC3649"/>
    <w:rsid w:val="00DD0655"/>
    <w:rsid w:val="00DD1712"/>
    <w:rsid w:val="00DD1E5C"/>
    <w:rsid w:val="00DD294A"/>
    <w:rsid w:val="00DD3084"/>
    <w:rsid w:val="00DD509C"/>
    <w:rsid w:val="00DE18E7"/>
    <w:rsid w:val="00DE2A70"/>
    <w:rsid w:val="00DE31FD"/>
    <w:rsid w:val="00DE6D77"/>
    <w:rsid w:val="00DE7B88"/>
    <w:rsid w:val="00DE7DEC"/>
    <w:rsid w:val="00DF0250"/>
    <w:rsid w:val="00DF216E"/>
    <w:rsid w:val="00DF3AEB"/>
    <w:rsid w:val="00DF3B51"/>
    <w:rsid w:val="00E03EFC"/>
    <w:rsid w:val="00E047F8"/>
    <w:rsid w:val="00E055C3"/>
    <w:rsid w:val="00E05B83"/>
    <w:rsid w:val="00E07646"/>
    <w:rsid w:val="00E076AE"/>
    <w:rsid w:val="00E0798D"/>
    <w:rsid w:val="00E1021A"/>
    <w:rsid w:val="00E11FC8"/>
    <w:rsid w:val="00E12951"/>
    <w:rsid w:val="00E12E10"/>
    <w:rsid w:val="00E136C1"/>
    <w:rsid w:val="00E14335"/>
    <w:rsid w:val="00E14630"/>
    <w:rsid w:val="00E14DC8"/>
    <w:rsid w:val="00E1525A"/>
    <w:rsid w:val="00E15722"/>
    <w:rsid w:val="00E16249"/>
    <w:rsid w:val="00E169F8"/>
    <w:rsid w:val="00E1789C"/>
    <w:rsid w:val="00E2076A"/>
    <w:rsid w:val="00E21B16"/>
    <w:rsid w:val="00E24789"/>
    <w:rsid w:val="00E24981"/>
    <w:rsid w:val="00E24A06"/>
    <w:rsid w:val="00E272BC"/>
    <w:rsid w:val="00E30707"/>
    <w:rsid w:val="00E32FD1"/>
    <w:rsid w:val="00E33189"/>
    <w:rsid w:val="00E3341C"/>
    <w:rsid w:val="00E337E3"/>
    <w:rsid w:val="00E34013"/>
    <w:rsid w:val="00E34236"/>
    <w:rsid w:val="00E344B1"/>
    <w:rsid w:val="00E353B1"/>
    <w:rsid w:val="00E353EE"/>
    <w:rsid w:val="00E35455"/>
    <w:rsid w:val="00E355E2"/>
    <w:rsid w:val="00E35780"/>
    <w:rsid w:val="00E40388"/>
    <w:rsid w:val="00E40B51"/>
    <w:rsid w:val="00E41458"/>
    <w:rsid w:val="00E42476"/>
    <w:rsid w:val="00E42FC2"/>
    <w:rsid w:val="00E43CB5"/>
    <w:rsid w:val="00E44366"/>
    <w:rsid w:val="00E44B4B"/>
    <w:rsid w:val="00E476BD"/>
    <w:rsid w:val="00E50348"/>
    <w:rsid w:val="00E51723"/>
    <w:rsid w:val="00E51BD0"/>
    <w:rsid w:val="00E5404C"/>
    <w:rsid w:val="00E54476"/>
    <w:rsid w:val="00E54B4A"/>
    <w:rsid w:val="00E54D85"/>
    <w:rsid w:val="00E557EE"/>
    <w:rsid w:val="00E55E7C"/>
    <w:rsid w:val="00E56213"/>
    <w:rsid w:val="00E56C04"/>
    <w:rsid w:val="00E56C35"/>
    <w:rsid w:val="00E576EB"/>
    <w:rsid w:val="00E6151F"/>
    <w:rsid w:val="00E61EBB"/>
    <w:rsid w:val="00E63433"/>
    <w:rsid w:val="00E65329"/>
    <w:rsid w:val="00E65E87"/>
    <w:rsid w:val="00E70A39"/>
    <w:rsid w:val="00E70BC1"/>
    <w:rsid w:val="00E70EA3"/>
    <w:rsid w:val="00E718B8"/>
    <w:rsid w:val="00E721FE"/>
    <w:rsid w:val="00E72216"/>
    <w:rsid w:val="00E73FD6"/>
    <w:rsid w:val="00E80B14"/>
    <w:rsid w:val="00E8154D"/>
    <w:rsid w:val="00E81561"/>
    <w:rsid w:val="00E824B2"/>
    <w:rsid w:val="00E848D1"/>
    <w:rsid w:val="00E84C28"/>
    <w:rsid w:val="00E871C7"/>
    <w:rsid w:val="00E9064B"/>
    <w:rsid w:val="00E9112B"/>
    <w:rsid w:val="00E912B6"/>
    <w:rsid w:val="00E9180F"/>
    <w:rsid w:val="00E92704"/>
    <w:rsid w:val="00E9653B"/>
    <w:rsid w:val="00E9717D"/>
    <w:rsid w:val="00E97F1D"/>
    <w:rsid w:val="00EA0325"/>
    <w:rsid w:val="00EA1FAA"/>
    <w:rsid w:val="00EA258C"/>
    <w:rsid w:val="00EA271A"/>
    <w:rsid w:val="00EA3A66"/>
    <w:rsid w:val="00EA698F"/>
    <w:rsid w:val="00EA78C7"/>
    <w:rsid w:val="00EA7A3E"/>
    <w:rsid w:val="00EB0A16"/>
    <w:rsid w:val="00EB255E"/>
    <w:rsid w:val="00EB2BF2"/>
    <w:rsid w:val="00EB352D"/>
    <w:rsid w:val="00EB3AB5"/>
    <w:rsid w:val="00EB568F"/>
    <w:rsid w:val="00EB6B95"/>
    <w:rsid w:val="00EC14DC"/>
    <w:rsid w:val="00EC364F"/>
    <w:rsid w:val="00EC376E"/>
    <w:rsid w:val="00EC53D2"/>
    <w:rsid w:val="00EC58C4"/>
    <w:rsid w:val="00EC5C48"/>
    <w:rsid w:val="00EC6873"/>
    <w:rsid w:val="00EC698D"/>
    <w:rsid w:val="00ED09BF"/>
    <w:rsid w:val="00ED0D82"/>
    <w:rsid w:val="00ED138B"/>
    <w:rsid w:val="00ED2DF1"/>
    <w:rsid w:val="00ED5ACF"/>
    <w:rsid w:val="00ED67BD"/>
    <w:rsid w:val="00ED6C98"/>
    <w:rsid w:val="00ED715F"/>
    <w:rsid w:val="00ED7698"/>
    <w:rsid w:val="00ED7C03"/>
    <w:rsid w:val="00EE37EA"/>
    <w:rsid w:val="00EE68D3"/>
    <w:rsid w:val="00EE6B6C"/>
    <w:rsid w:val="00EE7762"/>
    <w:rsid w:val="00EF00A3"/>
    <w:rsid w:val="00EF10D9"/>
    <w:rsid w:val="00EF15CC"/>
    <w:rsid w:val="00EF1897"/>
    <w:rsid w:val="00EF2602"/>
    <w:rsid w:val="00EF4559"/>
    <w:rsid w:val="00EF5E00"/>
    <w:rsid w:val="00F0191F"/>
    <w:rsid w:val="00F0284F"/>
    <w:rsid w:val="00F028F7"/>
    <w:rsid w:val="00F031AB"/>
    <w:rsid w:val="00F037BA"/>
    <w:rsid w:val="00F04443"/>
    <w:rsid w:val="00F0452F"/>
    <w:rsid w:val="00F11006"/>
    <w:rsid w:val="00F111F5"/>
    <w:rsid w:val="00F132CB"/>
    <w:rsid w:val="00F1378B"/>
    <w:rsid w:val="00F14D0A"/>
    <w:rsid w:val="00F1511F"/>
    <w:rsid w:val="00F164EB"/>
    <w:rsid w:val="00F1745A"/>
    <w:rsid w:val="00F17679"/>
    <w:rsid w:val="00F17BDF"/>
    <w:rsid w:val="00F213E1"/>
    <w:rsid w:val="00F22BA2"/>
    <w:rsid w:val="00F23DEA"/>
    <w:rsid w:val="00F2654C"/>
    <w:rsid w:val="00F3043E"/>
    <w:rsid w:val="00F30598"/>
    <w:rsid w:val="00F30B34"/>
    <w:rsid w:val="00F3386B"/>
    <w:rsid w:val="00F34801"/>
    <w:rsid w:val="00F35EA7"/>
    <w:rsid w:val="00F451DB"/>
    <w:rsid w:val="00F45710"/>
    <w:rsid w:val="00F47F2C"/>
    <w:rsid w:val="00F52AB8"/>
    <w:rsid w:val="00F52FDB"/>
    <w:rsid w:val="00F53AF1"/>
    <w:rsid w:val="00F5620D"/>
    <w:rsid w:val="00F563AC"/>
    <w:rsid w:val="00F607A5"/>
    <w:rsid w:val="00F60F5A"/>
    <w:rsid w:val="00F610C9"/>
    <w:rsid w:val="00F61288"/>
    <w:rsid w:val="00F63394"/>
    <w:rsid w:val="00F63769"/>
    <w:rsid w:val="00F642AE"/>
    <w:rsid w:val="00F65FC5"/>
    <w:rsid w:val="00F72755"/>
    <w:rsid w:val="00F72D32"/>
    <w:rsid w:val="00F731F9"/>
    <w:rsid w:val="00F76164"/>
    <w:rsid w:val="00F763FF"/>
    <w:rsid w:val="00F77F67"/>
    <w:rsid w:val="00F82515"/>
    <w:rsid w:val="00F825F3"/>
    <w:rsid w:val="00F82DFA"/>
    <w:rsid w:val="00F86CA5"/>
    <w:rsid w:val="00F87682"/>
    <w:rsid w:val="00F87D29"/>
    <w:rsid w:val="00F900E1"/>
    <w:rsid w:val="00F9345A"/>
    <w:rsid w:val="00F94B7F"/>
    <w:rsid w:val="00F973B8"/>
    <w:rsid w:val="00FA1423"/>
    <w:rsid w:val="00FA1F3A"/>
    <w:rsid w:val="00FA25A2"/>
    <w:rsid w:val="00FA328D"/>
    <w:rsid w:val="00FA5871"/>
    <w:rsid w:val="00FA71BA"/>
    <w:rsid w:val="00FA7C56"/>
    <w:rsid w:val="00FA7F85"/>
    <w:rsid w:val="00FB02D1"/>
    <w:rsid w:val="00FB03F0"/>
    <w:rsid w:val="00FB0DEC"/>
    <w:rsid w:val="00FB14C1"/>
    <w:rsid w:val="00FB2370"/>
    <w:rsid w:val="00FB2C73"/>
    <w:rsid w:val="00FC0549"/>
    <w:rsid w:val="00FC0F23"/>
    <w:rsid w:val="00FC20B0"/>
    <w:rsid w:val="00FC2DF9"/>
    <w:rsid w:val="00FC3FF1"/>
    <w:rsid w:val="00FC4ADD"/>
    <w:rsid w:val="00FC53B9"/>
    <w:rsid w:val="00FC7A97"/>
    <w:rsid w:val="00FD2044"/>
    <w:rsid w:val="00FD3C1D"/>
    <w:rsid w:val="00FD639D"/>
    <w:rsid w:val="00FD6A06"/>
    <w:rsid w:val="00FD7C2B"/>
    <w:rsid w:val="00FE0046"/>
    <w:rsid w:val="00FE011B"/>
    <w:rsid w:val="00FE297D"/>
    <w:rsid w:val="00FE484A"/>
    <w:rsid w:val="00FE4ADB"/>
    <w:rsid w:val="00FE5B8A"/>
    <w:rsid w:val="00FE633C"/>
    <w:rsid w:val="00FE7F5D"/>
    <w:rsid w:val="00FF0790"/>
    <w:rsid w:val="00FF2A99"/>
    <w:rsid w:val="00FF2F33"/>
    <w:rsid w:val="00FF3119"/>
    <w:rsid w:val="00FF3B69"/>
    <w:rsid w:val="00FF3FA1"/>
    <w:rsid w:val="00FF456B"/>
    <w:rsid w:val="00FF65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AE40F"/>
  <w15:chartTrackingRefBased/>
  <w15:docId w15:val="{C85E04F5-6A0D-4028-8F60-22E661758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D8C"/>
  </w:style>
  <w:style w:type="paragraph" w:styleId="Heading1">
    <w:name w:val="heading 1"/>
    <w:basedOn w:val="Normal"/>
    <w:next w:val="Normal"/>
    <w:link w:val="Heading1Char"/>
    <w:uiPriority w:val="9"/>
    <w:qFormat/>
    <w:rsid w:val="003F15FC"/>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D7582"/>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181A"/>
    <w:pPr>
      <w:ind w:left="720"/>
      <w:contextualSpacing/>
    </w:pPr>
  </w:style>
  <w:style w:type="table" w:styleId="TableGrid">
    <w:name w:val="Table Grid"/>
    <w:basedOn w:val="TableNormal"/>
    <w:uiPriority w:val="39"/>
    <w:rsid w:val="00233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77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772F"/>
  </w:style>
  <w:style w:type="paragraph" w:styleId="Footer">
    <w:name w:val="footer"/>
    <w:basedOn w:val="Normal"/>
    <w:link w:val="FooterChar"/>
    <w:uiPriority w:val="99"/>
    <w:unhideWhenUsed/>
    <w:rsid w:val="00A477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772F"/>
  </w:style>
  <w:style w:type="character" w:customStyle="1" w:styleId="ui-provider">
    <w:name w:val="ui-provider"/>
    <w:basedOn w:val="DefaultParagraphFont"/>
    <w:rsid w:val="004E224D"/>
  </w:style>
  <w:style w:type="paragraph" w:styleId="NormalWeb">
    <w:name w:val="Normal (Web)"/>
    <w:basedOn w:val="Normal"/>
    <w:uiPriority w:val="99"/>
    <w:unhideWhenUsed/>
    <w:rsid w:val="001F68B4"/>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customStyle="1" w:styleId="fui-primitive">
    <w:name w:val="fui-primitive"/>
    <w:basedOn w:val="DefaultParagraphFont"/>
    <w:rsid w:val="00ED67BD"/>
  </w:style>
  <w:style w:type="character" w:styleId="Hyperlink">
    <w:name w:val="Hyperlink"/>
    <w:basedOn w:val="DefaultParagraphFont"/>
    <w:uiPriority w:val="99"/>
    <w:unhideWhenUsed/>
    <w:rsid w:val="00A50C7B"/>
    <w:rPr>
      <w:color w:val="0563C1" w:themeColor="hyperlink"/>
      <w:u w:val="single"/>
    </w:rPr>
  </w:style>
  <w:style w:type="character" w:styleId="UnresolvedMention">
    <w:name w:val="Unresolved Mention"/>
    <w:basedOn w:val="DefaultParagraphFont"/>
    <w:uiPriority w:val="99"/>
    <w:semiHidden/>
    <w:unhideWhenUsed/>
    <w:rsid w:val="00A50C7B"/>
    <w:rPr>
      <w:color w:val="605E5C"/>
      <w:shd w:val="clear" w:color="auto" w:fill="E1DFDD"/>
    </w:rPr>
  </w:style>
  <w:style w:type="paragraph" w:customStyle="1" w:styleId="tx">
    <w:name w:val="tx"/>
    <w:basedOn w:val="Normal"/>
    <w:rsid w:val="003F3D2C"/>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indent1">
    <w:name w:val="indent1"/>
    <w:basedOn w:val="Normal"/>
    <w:rsid w:val="003F3D2C"/>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indent2">
    <w:name w:val="indent2"/>
    <w:basedOn w:val="Normal"/>
    <w:rsid w:val="003F3D2C"/>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indent3">
    <w:name w:val="indent3"/>
    <w:basedOn w:val="Normal"/>
    <w:rsid w:val="006914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A0F5A"/>
    <w:rPr>
      <w:b/>
      <w:bCs/>
    </w:rPr>
  </w:style>
  <w:style w:type="paragraph" w:styleId="Revision">
    <w:name w:val="Revision"/>
    <w:hidden/>
    <w:uiPriority w:val="99"/>
    <w:semiHidden/>
    <w:rsid w:val="00852B03"/>
    <w:pPr>
      <w:spacing w:after="0" w:line="240" w:lineRule="auto"/>
    </w:pPr>
  </w:style>
  <w:style w:type="paragraph" w:customStyle="1" w:styleId="EYDocumentprompts">
    <w:name w:val="EY Document prompts"/>
    <w:basedOn w:val="Normal"/>
    <w:rsid w:val="00C47EF5"/>
    <w:pPr>
      <w:widowControl w:val="0"/>
      <w:suppressAutoHyphens/>
      <w:adjustRightInd w:val="0"/>
      <w:spacing w:after="80" w:line="240" w:lineRule="exact"/>
      <w:jc w:val="both"/>
      <w:textAlignment w:val="baseline"/>
    </w:pPr>
    <w:rPr>
      <w:rFonts w:ascii="Arial" w:eastAsia="Times New Roman" w:hAnsi="Arial" w:cs="Times New Roman"/>
      <w:kern w:val="12"/>
      <w:sz w:val="20"/>
      <w:szCs w:val="24"/>
      <w:lang w:val="en-GB" w:bidi="ar-SA"/>
    </w:rPr>
  </w:style>
  <w:style w:type="paragraph" w:customStyle="1" w:styleId="Body">
    <w:name w:val="_Body"/>
    <w:basedOn w:val="Normal"/>
    <w:link w:val="BodyChar"/>
    <w:rsid w:val="00C47EF5"/>
    <w:pPr>
      <w:widowControl w:val="0"/>
      <w:adjustRightInd w:val="0"/>
      <w:spacing w:after="240" w:line="360" w:lineRule="atLeast"/>
      <w:jc w:val="both"/>
      <w:textAlignment w:val="baseline"/>
    </w:pPr>
    <w:rPr>
      <w:rFonts w:ascii="Arial" w:eastAsia="SC STKaiti" w:hAnsi="Arial" w:cs="Times New Roman"/>
      <w:sz w:val="24"/>
      <w:szCs w:val="24"/>
      <w:lang w:val="en-GB" w:eastAsia="zh-CN" w:bidi="ar-SA"/>
    </w:rPr>
  </w:style>
  <w:style w:type="character" w:customStyle="1" w:styleId="BodyChar">
    <w:name w:val="_Body Char"/>
    <w:link w:val="Body"/>
    <w:rsid w:val="00C47EF5"/>
    <w:rPr>
      <w:rFonts w:ascii="Arial" w:eastAsia="SC STKaiti" w:hAnsi="Arial" w:cs="Times New Roman"/>
      <w:sz w:val="24"/>
      <w:szCs w:val="24"/>
      <w:lang w:val="en-GB" w:eastAsia="zh-CN" w:bidi="ar-SA"/>
    </w:rPr>
  </w:style>
  <w:style w:type="paragraph" w:styleId="NoSpacing">
    <w:name w:val="No Spacing"/>
    <w:link w:val="NoSpacingChar"/>
    <w:uiPriority w:val="1"/>
    <w:qFormat/>
    <w:rsid w:val="00010CD4"/>
    <w:pPr>
      <w:spacing w:after="0" w:line="240" w:lineRule="auto"/>
    </w:pPr>
    <w:rPr>
      <w:rFonts w:eastAsiaTheme="minorEastAsia"/>
      <w:szCs w:val="22"/>
      <w:lang w:val="en-US" w:bidi="ar-SA"/>
    </w:rPr>
  </w:style>
  <w:style w:type="character" w:customStyle="1" w:styleId="NoSpacingChar">
    <w:name w:val="No Spacing Char"/>
    <w:basedOn w:val="DefaultParagraphFont"/>
    <w:link w:val="NoSpacing"/>
    <w:uiPriority w:val="1"/>
    <w:rsid w:val="00010CD4"/>
    <w:rPr>
      <w:rFonts w:eastAsiaTheme="minorEastAsia"/>
      <w:szCs w:val="22"/>
      <w:lang w:val="en-US" w:bidi="ar-SA"/>
    </w:rPr>
  </w:style>
  <w:style w:type="paragraph" w:styleId="Index1">
    <w:name w:val="index 1"/>
    <w:basedOn w:val="Normal"/>
    <w:next w:val="Normal"/>
    <w:autoRedefine/>
    <w:uiPriority w:val="99"/>
    <w:unhideWhenUsed/>
    <w:rsid w:val="00010CD4"/>
    <w:pPr>
      <w:spacing w:after="0"/>
      <w:ind w:left="220" w:hanging="220"/>
    </w:pPr>
    <w:rPr>
      <w:rFonts w:cstheme="minorHAnsi"/>
      <w:sz w:val="18"/>
      <w:szCs w:val="18"/>
    </w:rPr>
  </w:style>
  <w:style w:type="paragraph" w:styleId="Index2">
    <w:name w:val="index 2"/>
    <w:basedOn w:val="Normal"/>
    <w:next w:val="Normal"/>
    <w:autoRedefine/>
    <w:uiPriority w:val="99"/>
    <w:unhideWhenUsed/>
    <w:rsid w:val="00010CD4"/>
    <w:pPr>
      <w:spacing w:after="0"/>
      <w:ind w:left="440" w:hanging="220"/>
    </w:pPr>
    <w:rPr>
      <w:rFonts w:cstheme="minorHAnsi"/>
      <w:sz w:val="18"/>
      <w:szCs w:val="18"/>
    </w:rPr>
  </w:style>
  <w:style w:type="paragraph" w:styleId="Index3">
    <w:name w:val="index 3"/>
    <w:basedOn w:val="Normal"/>
    <w:next w:val="Normal"/>
    <w:autoRedefine/>
    <w:uiPriority w:val="99"/>
    <w:unhideWhenUsed/>
    <w:rsid w:val="00010CD4"/>
    <w:pPr>
      <w:spacing w:after="0"/>
      <w:ind w:left="660" w:hanging="220"/>
    </w:pPr>
    <w:rPr>
      <w:rFonts w:cstheme="minorHAnsi"/>
      <w:sz w:val="18"/>
      <w:szCs w:val="18"/>
    </w:rPr>
  </w:style>
  <w:style w:type="paragraph" w:styleId="Index4">
    <w:name w:val="index 4"/>
    <w:basedOn w:val="Normal"/>
    <w:next w:val="Normal"/>
    <w:autoRedefine/>
    <w:uiPriority w:val="99"/>
    <w:unhideWhenUsed/>
    <w:rsid w:val="00010CD4"/>
    <w:pPr>
      <w:spacing w:after="0"/>
      <w:ind w:left="880" w:hanging="220"/>
    </w:pPr>
    <w:rPr>
      <w:rFonts w:cstheme="minorHAnsi"/>
      <w:sz w:val="18"/>
      <w:szCs w:val="18"/>
    </w:rPr>
  </w:style>
  <w:style w:type="paragraph" w:styleId="Index5">
    <w:name w:val="index 5"/>
    <w:basedOn w:val="Normal"/>
    <w:next w:val="Normal"/>
    <w:autoRedefine/>
    <w:uiPriority w:val="99"/>
    <w:unhideWhenUsed/>
    <w:rsid w:val="00010CD4"/>
    <w:pPr>
      <w:spacing w:after="0"/>
      <w:ind w:left="1100" w:hanging="220"/>
    </w:pPr>
    <w:rPr>
      <w:rFonts w:cstheme="minorHAnsi"/>
      <w:sz w:val="18"/>
      <w:szCs w:val="18"/>
    </w:rPr>
  </w:style>
  <w:style w:type="paragraph" w:styleId="Index6">
    <w:name w:val="index 6"/>
    <w:basedOn w:val="Normal"/>
    <w:next w:val="Normal"/>
    <w:autoRedefine/>
    <w:uiPriority w:val="99"/>
    <w:unhideWhenUsed/>
    <w:rsid w:val="00010CD4"/>
    <w:pPr>
      <w:spacing w:after="0"/>
      <w:ind w:left="1320" w:hanging="220"/>
    </w:pPr>
    <w:rPr>
      <w:rFonts w:cstheme="minorHAnsi"/>
      <w:sz w:val="18"/>
      <w:szCs w:val="18"/>
    </w:rPr>
  </w:style>
  <w:style w:type="paragraph" w:styleId="Index7">
    <w:name w:val="index 7"/>
    <w:basedOn w:val="Normal"/>
    <w:next w:val="Normal"/>
    <w:autoRedefine/>
    <w:uiPriority w:val="99"/>
    <w:unhideWhenUsed/>
    <w:rsid w:val="00010CD4"/>
    <w:pPr>
      <w:spacing w:after="0"/>
      <w:ind w:left="1540" w:hanging="220"/>
    </w:pPr>
    <w:rPr>
      <w:rFonts w:cstheme="minorHAnsi"/>
      <w:sz w:val="18"/>
      <w:szCs w:val="18"/>
    </w:rPr>
  </w:style>
  <w:style w:type="paragraph" w:styleId="Index8">
    <w:name w:val="index 8"/>
    <w:basedOn w:val="Normal"/>
    <w:next w:val="Normal"/>
    <w:autoRedefine/>
    <w:uiPriority w:val="99"/>
    <w:unhideWhenUsed/>
    <w:rsid w:val="00010CD4"/>
    <w:pPr>
      <w:spacing w:after="0"/>
      <w:ind w:left="1760" w:hanging="220"/>
    </w:pPr>
    <w:rPr>
      <w:rFonts w:cstheme="minorHAnsi"/>
      <w:sz w:val="18"/>
      <w:szCs w:val="18"/>
    </w:rPr>
  </w:style>
  <w:style w:type="paragraph" w:styleId="Index9">
    <w:name w:val="index 9"/>
    <w:basedOn w:val="Normal"/>
    <w:next w:val="Normal"/>
    <w:autoRedefine/>
    <w:uiPriority w:val="99"/>
    <w:unhideWhenUsed/>
    <w:rsid w:val="00010CD4"/>
    <w:pPr>
      <w:spacing w:after="0"/>
      <w:ind w:left="1980" w:hanging="220"/>
    </w:pPr>
    <w:rPr>
      <w:rFonts w:cstheme="minorHAnsi"/>
      <w:sz w:val="18"/>
      <w:szCs w:val="18"/>
    </w:rPr>
  </w:style>
  <w:style w:type="paragraph" w:styleId="IndexHeading">
    <w:name w:val="index heading"/>
    <w:basedOn w:val="Normal"/>
    <w:next w:val="Index1"/>
    <w:uiPriority w:val="99"/>
    <w:unhideWhenUsed/>
    <w:rsid w:val="00010CD4"/>
    <w:pPr>
      <w:spacing w:before="240" w:after="120"/>
      <w:jc w:val="center"/>
    </w:pPr>
    <w:rPr>
      <w:rFonts w:cstheme="minorHAnsi"/>
      <w:b/>
      <w:bCs/>
      <w:sz w:val="26"/>
      <w:szCs w:val="26"/>
    </w:rPr>
  </w:style>
  <w:style w:type="character" w:customStyle="1" w:styleId="Heading1Char">
    <w:name w:val="Heading 1 Char"/>
    <w:basedOn w:val="DefaultParagraphFont"/>
    <w:link w:val="Heading1"/>
    <w:uiPriority w:val="9"/>
    <w:rsid w:val="003F15FC"/>
    <w:rPr>
      <w:rFonts w:asciiTheme="majorHAnsi" w:eastAsiaTheme="majorEastAsia" w:hAnsiTheme="majorHAnsi" w:cstheme="majorBidi"/>
      <w:color w:val="2F5496" w:themeColor="accent1" w:themeShade="BF"/>
      <w:sz w:val="32"/>
      <w:szCs w:val="29"/>
    </w:rPr>
  </w:style>
  <w:style w:type="paragraph" w:styleId="TOCHeading">
    <w:name w:val="TOC Heading"/>
    <w:basedOn w:val="Heading1"/>
    <w:next w:val="Normal"/>
    <w:uiPriority w:val="39"/>
    <w:unhideWhenUsed/>
    <w:qFormat/>
    <w:rsid w:val="003F15FC"/>
    <w:pPr>
      <w:outlineLvl w:val="9"/>
    </w:pPr>
    <w:rPr>
      <w:szCs w:val="32"/>
      <w:lang w:val="en-US" w:bidi="ar-SA"/>
    </w:rPr>
  </w:style>
  <w:style w:type="paragraph" w:styleId="TOC3">
    <w:name w:val="toc 3"/>
    <w:basedOn w:val="Normal"/>
    <w:next w:val="Normal"/>
    <w:autoRedefine/>
    <w:uiPriority w:val="39"/>
    <w:unhideWhenUsed/>
    <w:rsid w:val="003F15FC"/>
    <w:pPr>
      <w:spacing w:after="100"/>
      <w:ind w:left="440"/>
    </w:pPr>
  </w:style>
  <w:style w:type="character" w:customStyle="1" w:styleId="Heading3Char">
    <w:name w:val="Heading 3 Char"/>
    <w:basedOn w:val="DefaultParagraphFont"/>
    <w:link w:val="Heading3"/>
    <w:uiPriority w:val="9"/>
    <w:semiHidden/>
    <w:rsid w:val="009D7582"/>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2953">
      <w:bodyDiv w:val="1"/>
      <w:marLeft w:val="0"/>
      <w:marRight w:val="0"/>
      <w:marTop w:val="0"/>
      <w:marBottom w:val="0"/>
      <w:divBdr>
        <w:top w:val="none" w:sz="0" w:space="0" w:color="auto"/>
        <w:left w:val="none" w:sz="0" w:space="0" w:color="auto"/>
        <w:bottom w:val="none" w:sz="0" w:space="0" w:color="auto"/>
        <w:right w:val="none" w:sz="0" w:space="0" w:color="auto"/>
      </w:divBdr>
    </w:div>
    <w:div w:id="28919423">
      <w:bodyDiv w:val="1"/>
      <w:marLeft w:val="0"/>
      <w:marRight w:val="0"/>
      <w:marTop w:val="0"/>
      <w:marBottom w:val="0"/>
      <w:divBdr>
        <w:top w:val="none" w:sz="0" w:space="0" w:color="auto"/>
        <w:left w:val="none" w:sz="0" w:space="0" w:color="auto"/>
        <w:bottom w:val="none" w:sz="0" w:space="0" w:color="auto"/>
        <w:right w:val="none" w:sz="0" w:space="0" w:color="auto"/>
      </w:divBdr>
    </w:div>
    <w:div w:id="51739958">
      <w:bodyDiv w:val="1"/>
      <w:marLeft w:val="0"/>
      <w:marRight w:val="0"/>
      <w:marTop w:val="0"/>
      <w:marBottom w:val="0"/>
      <w:divBdr>
        <w:top w:val="none" w:sz="0" w:space="0" w:color="auto"/>
        <w:left w:val="none" w:sz="0" w:space="0" w:color="auto"/>
        <w:bottom w:val="none" w:sz="0" w:space="0" w:color="auto"/>
        <w:right w:val="none" w:sz="0" w:space="0" w:color="auto"/>
      </w:divBdr>
      <w:divsChild>
        <w:div w:id="1398476922">
          <w:marLeft w:val="0"/>
          <w:marRight w:val="0"/>
          <w:marTop w:val="0"/>
          <w:marBottom w:val="0"/>
          <w:divBdr>
            <w:top w:val="none" w:sz="0" w:space="0" w:color="auto"/>
            <w:left w:val="none" w:sz="0" w:space="0" w:color="auto"/>
            <w:bottom w:val="none" w:sz="0" w:space="0" w:color="auto"/>
            <w:right w:val="none" w:sz="0" w:space="0" w:color="auto"/>
          </w:divBdr>
        </w:div>
        <w:div w:id="501042160">
          <w:marLeft w:val="0"/>
          <w:marRight w:val="0"/>
          <w:marTop w:val="0"/>
          <w:marBottom w:val="0"/>
          <w:divBdr>
            <w:top w:val="none" w:sz="0" w:space="0" w:color="auto"/>
            <w:left w:val="none" w:sz="0" w:space="0" w:color="auto"/>
            <w:bottom w:val="none" w:sz="0" w:space="0" w:color="auto"/>
            <w:right w:val="none" w:sz="0" w:space="0" w:color="auto"/>
          </w:divBdr>
        </w:div>
        <w:div w:id="829370635">
          <w:marLeft w:val="0"/>
          <w:marRight w:val="0"/>
          <w:marTop w:val="0"/>
          <w:marBottom w:val="0"/>
          <w:divBdr>
            <w:top w:val="none" w:sz="0" w:space="0" w:color="auto"/>
            <w:left w:val="none" w:sz="0" w:space="0" w:color="auto"/>
            <w:bottom w:val="none" w:sz="0" w:space="0" w:color="auto"/>
            <w:right w:val="none" w:sz="0" w:space="0" w:color="auto"/>
          </w:divBdr>
          <w:divsChild>
            <w:div w:id="1450473928">
              <w:marLeft w:val="0"/>
              <w:marRight w:val="0"/>
              <w:marTop w:val="0"/>
              <w:marBottom w:val="0"/>
              <w:divBdr>
                <w:top w:val="none" w:sz="0" w:space="0" w:color="auto"/>
                <w:left w:val="none" w:sz="0" w:space="0" w:color="auto"/>
                <w:bottom w:val="none" w:sz="0" w:space="0" w:color="auto"/>
                <w:right w:val="none" w:sz="0" w:space="0" w:color="auto"/>
              </w:divBdr>
            </w:div>
            <w:div w:id="125587456">
              <w:marLeft w:val="0"/>
              <w:marRight w:val="0"/>
              <w:marTop w:val="0"/>
              <w:marBottom w:val="0"/>
              <w:divBdr>
                <w:top w:val="none" w:sz="0" w:space="0" w:color="auto"/>
                <w:left w:val="none" w:sz="0" w:space="0" w:color="auto"/>
                <w:bottom w:val="none" w:sz="0" w:space="0" w:color="auto"/>
                <w:right w:val="none" w:sz="0" w:space="0" w:color="auto"/>
              </w:divBdr>
            </w:div>
            <w:div w:id="74449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6501">
      <w:bodyDiv w:val="1"/>
      <w:marLeft w:val="0"/>
      <w:marRight w:val="0"/>
      <w:marTop w:val="0"/>
      <w:marBottom w:val="0"/>
      <w:divBdr>
        <w:top w:val="none" w:sz="0" w:space="0" w:color="auto"/>
        <w:left w:val="none" w:sz="0" w:space="0" w:color="auto"/>
        <w:bottom w:val="none" w:sz="0" w:space="0" w:color="auto"/>
        <w:right w:val="none" w:sz="0" w:space="0" w:color="auto"/>
      </w:divBdr>
      <w:divsChild>
        <w:div w:id="2114324095">
          <w:marLeft w:val="60"/>
          <w:marRight w:val="60"/>
          <w:marTop w:val="0"/>
          <w:marBottom w:val="80"/>
          <w:divBdr>
            <w:top w:val="none" w:sz="0" w:space="0" w:color="auto"/>
            <w:left w:val="none" w:sz="0" w:space="0" w:color="auto"/>
            <w:bottom w:val="none" w:sz="0" w:space="0" w:color="auto"/>
            <w:right w:val="none" w:sz="0" w:space="0" w:color="auto"/>
          </w:divBdr>
        </w:div>
        <w:div w:id="895094341">
          <w:marLeft w:val="60"/>
          <w:marRight w:val="60"/>
          <w:marTop w:val="0"/>
          <w:marBottom w:val="80"/>
          <w:divBdr>
            <w:top w:val="none" w:sz="0" w:space="0" w:color="auto"/>
            <w:left w:val="none" w:sz="0" w:space="0" w:color="auto"/>
            <w:bottom w:val="none" w:sz="0" w:space="0" w:color="auto"/>
            <w:right w:val="none" w:sz="0" w:space="0" w:color="auto"/>
          </w:divBdr>
        </w:div>
      </w:divsChild>
    </w:div>
    <w:div w:id="127169794">
      <w:bodyDiv w:val="1"/>
      <w:marLeft w:val="0"/>
      <w:marRight w:val="0"/>
      <w:marTop w:val="0"/>
      <w:marBottom w:val="0"/>
      <w:divBdr>
        <w:top w:val="none" w:sz="0" w:space="0" w:color="auto"/>
        <w:left w:val="none" w:sz="0" w:space="0" w:color="auto"/>
        <w:bottom w:val="none" w:sz="0" w:space="0" w:color="auto"/>
        <w:right w:val="none" w:sz="0" w:space="0" w:color="auto"/>
      </w:divBdr>
      <w:divsChild>
        <w:div w:id="619454915">
          <w:marLeft w:val="0"/>
          <w:marRight w:val="0"/>
          <w:marTop w:val="0"/>
          <w:marBottom w:val="0"/>
          <w:divBdr>
            <w:top w:val="none" w:sz="0" w:space="0" w:color="auto"/>
            <w:left w:val="none" w:sz="0" w:space="0" w:color="auto"/>
            <w:bottom w:val="none" w:sz="0" w:space="0" w:color="auto"/>
            <w:right w:val="none" w:sz="0" w:space="0" w:color="auto"/>
          </w:divBdr>
        </w:div>
        <w:div w:id="1019817537">
          <w:marLeft w:val="0"/>
          <w:marRight w:val="0"/>
          <w:marTop w:val="0"/>
          <w:marBottom w:val="0"/>
          <w:divBdr>
            <w:top w:val="none" w:sz="0" w:space="0" w:color="auto"/>
            <w:left w:val="none" w:sz="0" w:space="0" w:color="auto"/>
            <w:bottom w:val="none" w:sz="0" w:space="0" w:color="auto"/>
            <w:right w:val="none" w:sz="0" w:space="0" w:color="auto"/>
          </w:divBdr>
        </w:div>
        <w:div w:id="1064789846">
          <w:marLeft w:val="0"/>
          <w:marRight w:val="0"/>
          <w:marTop w:val="0"/>
          <w:marBottom w:val="0"/>
          <w:divBdr>
            <w:top w:val="none" w:sz="0" w:space="0" w:color="auto"/>
            <w:left w:val="none" w:sz="0" w:space="0" w:color="auto"/>
            <w:bottom w:val="none" w:sz="0" w:space="0" w:color="auto"/>
            <w:right w:val="none" w:sz="0" w:space="0" w:color="auto"/>
          </w:divBdr>
          <w:divsChild>
            <w:div w:id="86969898">
              <w:marLeft w:val="0"/>
              <w:marRight w:val="0"/>
              <w:marTop w:val="0"/>
              <w:marBottom w:val="0"/>
              <w:divBdr>
                <w:top w:val="none" w:sz="0" w:space="0" w:color="auto"/>
                <w:left w:val="none" w:sz="0" w:space="0" w:color="auto"/>
                <w:bottom w:val="none" w:sz="0" w:space="0" w:color="auto"/>
                <w:right w:val="none" w:sz="0" w:space="0" w:color="auto"/>
              </w:divBdr>
            </w:div>
            <w:div w:id="1806847888">
              <w:marLeft w:val="0"/>
              <w:marRight w:val="0"/>
              <w:marTop w:val="0"/>
              <w:marBottom w:val="0"/>
              <w:divBdr>
                <w:top w:val="none" w:sz="0" w:space="0" w:color="auto"/>
                <w:left w:val="none" w:sz="0" w:space="0" w:color="auto"/>
                <w:bottom w:val="none" w:sz="0" w:space="0" w:color="auto"/>
                <w:right w:val="none" w:sz="0" w:space="0" w:color="auto"/>
              </w:divBdr>
            </w:div>
            <w:div w:id="176811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2030">
      <w:bodyDiv w:val="1"/>
      <w:marLeft w:val="0"/>
      <w:marRight w:val="0"/>
      <w:marTop w:val="0"/>
      <w:marBottom w:val="0"/>
      <w:divBdr>
        <w:top w:val="none" w:sz="0" w:space="0" w:color="auto"/>
        <w:left w:val="none" w:sz="0" w:space="0" w:color="auto"/>
        <w:bottom w:val="none" w:sz="0" w:space="0" w:color="auto"/>
        <w:right w:val="none" w:sz="0" w:space="0" w:color="auto"/>
      </w:divBdr>
    </w:div>
    <w:div w:id="244266847">
      <w:bodyDiv w:val="1"/>
      <w:marLeft w:val="0"/>
      <w:marRight w:val="0"/>
      <w:marTop w:val="0"/>
      <w:marBottom w:val="0"/>
      <w:divBdr>
        <w:top w:val="none" w:sz="0" w:space="0" w:color="auto"/>
        <w:left w:val="none" w:sz="0" w:space="0" w:color="auto"/>
        <w:bottom w:val="none" w:sz="0" w:space="0" w:color="auto"/>
        <w:right w:val="none" w:sz="0" w:space="0" w:color="auto"/>
      </w:divBdr>
    </w:div>
    <w:div w:id="267081826">
      <w:bodyDiv w:val="1"/>
      <w:marLeft w:val="0"/>
      <w:marRight w:val="0"/>
      <w:marTop w:val="0"/>
      <w:marBottom w:val="0"/>
      <w:divBdr>
        <w:top w:val="none" w:sz="0" w:space="0" w:color="auto"/>
        <w:left w:val="none" w:sz="0" w:space="0" w:color="auto"/>
        <w:bottom w:val="none" w:sz="0" w:space="0" w:color="auto"/>
        <w:right w:val="none" w:sz="0" w:space="0" w:color="auto"/>
      </w:divBdr>
      <w:divsChild>
        <w:div w:id="282229520">
          <w:marLeft w:val="60"/>
          <w:marRight w:val="60"/>
          <w:marTop w:val="0"/>
          <w:marBottom w:val="80"/>
          <w:divBdr>
            <w:top w:val="none" w:sz="0" w:space="0" w:color="auto"/>
            <w:left w:val="none" w:sz="0" w:space="0" w:color="auto"/>
            <w:bottom w:val="none" w:sz="0" w:space="0" w:color="auto"/>
            <w:right w:val="none" w:sz="0" w:space="0" w:color="auto"/>
          </w:divBdr>
        </w:div>
        <w:div w:id="1367101966">
          <w:marLeft w:val="60"/>
          <w:marRight w:val="60"/>
          <w:marTop w:val="0"/>
          <w:marBottom w:val="80"/>
          <w:divBdr>
            <w:top w:val="none" w:sz="0" w:space="0" w:color="auto"/>
            <w:left w:val="none" w:sz="0" w:space="0" w:color="auto"/>
            <w:bottom w:val="none" w:sz="0" w:space="0" w:color="auto"/>
            <w:right w:val="none" w:sz="0" w:space="0" w:color="auto"/>
          </w:divBdr>
        </w:div>
      </w:divsChild>
    </w:div>
    <w:div w:id="327490494">
      <w:bodyDiv w:val="1"/>
      <w:marLeft w:val="0"/>
      <w:marRight w:val="0"/>
      <w:marTop w:val="0"/>
      <w:marBottom w:val="0"/>
      <w:divBdr>
        <w:top w:val="none" w:sz="0" w:space="0" w:color="auto"/>
        <w:left w:val="none" w:sz="0" w:space="0" w:color="auto"/>
        <w:bottom w:val="none" w:sz="0" w:space="0" w:color="auto"/>
        <w:right w:val="none" w:sz="0" w:space="0" w:color="auto"/>
      </w:divBdr>
    </w:div>
    <w:div w:id="334382878">
      <w:bodyDiv w:val="1"/>
      <w:marLeft w:val="0"/>
      <w:marRight w:val="0"/>
      <w:marTop w:val="0"/>
      <w:marBottom w:val="0"/>
      <w:divBdr>
        <w:top w:val="none" w:sz="0" w:space="0" w:color="auto"/>
        <w:left w:val="none" w:sz="0" w:space="0" w:color="auto"/>
        <w:bottom w:val="none" w:sz="0" w:space="0" w:color="auto"/>
        <w:right w:val="none" w:sz="0" w:space="0" w:color="auto"/>
      </w:divBdr>
    </w:div>
    <w:div w:id="338433706">
      <w:bodyDiv w:val="1"/>
      <w:marLeft w:val="0"/>
      <w:marRight w:val="0"/>
      <w:marTop w:val="0"/>
      <w:marBottom w:val="0"/>
      <w:divBdr>
        <w:top w:val="none" w:sz="0" w:space="0" w:color="auto"/>
        <w:left w:val="none" w:sz="0" w:space="0" w:color="auto"/>
        <w:bottom w:val="none" w:sz="0" w:space="0" w:color="auto"/>
        <w:right w:val="none" w:sz="0" w:space="0" w:color="auto"/>
      </w:divBdr>
      <w:divsChild>
        <w:div w:id="727264381">
          <w:marLeft w:val="60"/>
          <w:marRight w:val="60"/>
          <w:marTop w:val="0"/>
          <w:marBottom w:val="80"/>
          <w:divBdr>
            <w:top w:val="none" w:sz="0" w:space="0" w:color="auto"/>
            <w:left w:val="none" w:sz="0" w:space="0" w:color="auto"/>
            <w:bottom w:val="none" w:sz="0" w:space="0" w:color="auto"/>
            <w:right w:val="none" w:sz="0" w:space="0" w:color="auto"/>
          </w:divBdr>
        </w:div>
        <w:div w:id="1172836654">
          <w:marLeft w:val="60"/>
          <w:marRight w:val="60"/>
          <w:marTop w:val="0"/>
          <w:marBottom w:val="80"/>
          <w:divBdr>
            <w:top w:val="none" w:sz="0" w:space="0" w:color="auto"/>
            <w:left w:val="none" w:sz="0" w:space="0" w:color="auto"/>
            <w:bottom w:val="none" w:sz="0" w:space="0" w:color="auto"/>
            <w:right w:val="none" w:sz="0" w:space="0" w:color="auto"/>
          </w:divBdr>
        </w:div>
      </w:divsChild>
    </w:div>
    <w:div w:id="359740456">
      <w:bodyDiv w:val="1"/>
      <w:marLeft w:val="0"/>
      <w:marRight w:val="0"/>
      <w:marTop w:val="0"/>
      <w:marBottom w:val="0"/>
      <w:divBdr>
        <w:top w:val="none" w:sz="0" w:space="0" w:color="auto"/>
        <w:left w:val="none" w:sz="0" w:space="0" w:color="auto"/>
        <w:bottom w:val="none" w:sz="0" w:space="0" w:color="auto"/>
        <w:right w:val="none" w:sz="0" w:space="0" w:color="auto"/>
      </w:divBdr>
    </w:div>
    <w:div w:id="432481169">
      <w:bodyDiv w:val="1"/>
      <w:marLeft w:val="0"/>
      <w:marRight w:val="0"/>
      <w:marTop w:val="0"/>
      <w:marBottom w:val="0"/>
      <w:divBdr>
        <w:top w:val="none" w:sz="0" w:space="0" w:color="auto"/>
        <w:left w:val="none" w:sz="0" w:space="0" w:color="auto"/>
        <w:bottom w:val="none" w:sz="0" w:space="0" w:color="auto"/>
        <w:right w:val="none" w:sz="0" w:space="0" w:color="auto"/>
      </w:divBdr>
    </w:div>
    <w:div w:id="448865727">
      <w:bodyDiv w:val="1"/>
      <w:marLeft w:val="0"/>
      <w:marRight w:val="0"/>
      <w:marTop w:val="0"/>
      <w:marBottom w:val="0"/>
      <w:divBdr>
        <w:top w:val="none" w:sz="0" w:space="0" w:color="auto"/>
        <w:left w:val="none" w:sz="0" w:space="0" w:color="auto"/>
        <w:bottom w:val="none" w:sz="0" w:space="0" w:color="auto"/>
        <w:right w:val="none" w:sz="0" w:space="0" w:color="auto"/>
      </w:divBdr>
    </w:div>
    <w:div w:id="467823530">
      <w:bodyDiv w:val="1"/>
      <w:marLeft w:val="0"/>
      <w:marRight w:val="0"/>
      <w:marTop w:val="0"/>
      <w:marBottom w:val="0"/>
      <w:divBdr>
        <w:top w:val="none" w:sz="0" w:space="0" w:color="auto"/>
        <w:left w:val="none" w:sz="0" w:space="0" w:color="auto"/>
        <w:bottom w:val="none" w:sz="0" w:space="0" w:color="auto"/>
        <w:right w:val="none" w:sz="0" w:space="0" w:color="auto"/>
      </w:divBdr>
    </w:div>
    <w:div w:id="494303496">
      <w:bodyDiv w:val="1"/>
      <w:marLeft w:val="0"/>
      <w:marRight w:val="0"/>
      <w:marTop w:val="0"/>
      <w:marBottom w:val="0"/>
      <w:divBdr>
        <w:top w:val="none" w:sz="0" w:space="0" w:color="auto"/>
        <w:left w:val="none" w:sz="0" w:space="0" w:color="auto"/>
        <w:bottom w:val="none" w:sz="0" w:space="0" w:color="auto"/>
        <w:right w:val="none" w:sz="0" w:space="0" w:color="auto"/>
      </w:divBdr>
    </w:div>
    <w:div w:id="515848591">
      <w:bodyDiv w:val="1"/>
      <w:marLeft w:val="0"/>
      <w:marRight w:val="0"/>
      <w:marTop w:val="0"/>
      <w:marBottom w:val="0"/>
      <w:divBdr>
        <w:top w:val="none" w:sz="0" w:space="0" w:color="auto"/>
        <w:left w:val="none" w:sz="0" w:space="0" w:color="auto"/>
        <w:bottom w:val="none" w:sz="0" w:space="0" w:color="auto"/>
        <w:right w:val="none" w:sz="0" w:space="0" w:color="auto"/>
      </w:divBdr>
      <w:divsChild>
        <w:div w:id="542058263">
          <w:marLeft w:val="0"/>
          <w:marRight w:val="0"/>
          <w:marTop w:val="0"/>
          <w:marBottom w:val="0"/>
          <w:divBdr>
            <w:top w:val="none" w:sz="0" w:space="0" w:color="auto"/>
            <w:left w:val="none" w:sz="0" w:space="0" w:color="auto"/>
            <w:bottom w:val="none" w:sz="0" w:space="0" w:color="auto"/>
            <w:right w:val="none" w:sz="0" w:space="0" w:color="auto"/>
          </w:divBdr>
          <w:divsChild>
            <w:div w:id="1742873440">
              <w:marLeft w:val="0"/>
              <w:marRight w:val="0"/>
              <w:marTop w:val="0"/>
              <w:marBottom w:val="0"/>
              <w:divBdr>
                <w:top w:val="none" w:sz="0" w:space="0" w:color="auto"/>
                <w:left w:val="none" w:sz="0" w:space="0" w:color="auto"/>
                <w:bottom w:val="none" w:sz="0" w:space="0" w:color="auto"/>
                <w:right w:val="none" w:sz="0" w:space="0" w:color="auto"/>
              </w:divBdr>
              <w:divsChild>
                <w:div w:id="4456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10017">
      <w:bodyDiv w:val="1"/>
      <w:marLeft w:val="0"/>
      <w:marRight w:val="0"/>
      <w:marTop w:val="0"/>
      <w:marBottom w:val="0"/>
      <w:divBdr>
        <w:top w:val="none" w:sz="0" w:space="0" w:color="auto"/>
        <w:left w:val="none" w:sz="0" w:space="0" w:color="auto"/>
        <w:bottom w:val="none" w:sz="0" w:space="0" w:color="auto"/>
        <w:right w:val="none" w:sz="0" w:space="0" w:color="auto"/>
      </w:divBdr>
      <w:divsChild>
        <w:div w:id="1910266148">
          <w:marLeft w:val="60"/>
          <w:marRight w:val="60"/>
          <w:marTop w:val="0"/>
          <w:marBottom w:val="80"/>
          <w:divBdr>
            <w:top w:val="none" w:sz="0" w:space="0" w:color="auto"/>
            <w:left w:val="none" w:sz="0" w:space="0" w:color="auto"/>
            <w:bottom w:val="none" w:sz="0" w:space="0" w:color="auto"/>
            <w:right w:val="none" w:sz="0" w:space="0" w:color="auto"/>
          </w:divBdr>
        </w:div>
        <w:div w:id="1728916774">
          <w:marLeft w:val="60"/>
          <w:marRight w:val="60"/>
          <w:marTop w:val="0"/>
          <w:marBottom w:val="80"/>
          <w:divBdr>
            <w:top w:val="none" w:sz="0" w:space="0" w:color="auto"/>
            <w:left w:val="none" w:sz="0" w:space="0" w:color="auto"/>
            <w:bottom w:val="none" w:sz="0" w:space="0" w:color="auto"/>
            <w:right w:val="none" w:sz="0" w:space="0" w:color="auto"/>
          </w:divBdr>
        </w:div>
        <w:div w:id="242564898">
          <w:marLeft w:val="60"/>
          <w:marRight w:val="60"/>
          <w:marTop w:val="0"/>
          <w:marBottom w:val="80"/>
          <w:divBdr>
            <w:top w:val="none" w:sz="0" w:space="0" w:color="auto"/>
            <w:left w:val="none" w:sz="0" w:space="0" w:color="auto"/>
            <w:bottom w:val="none" w:sz="0" w:space="0" w:color="auto"/>
            <w:right w:val="none" w:sz="0" w:space="0" w:color="auto"/>
          </w:divBdr>
        </w:div>
        <w:div w:id="262495713">
          <w:marLeft w:val="60"/>
          <w:marRight w:val="60"/>
          <w:marTop w:val="0"/>
          <w:marBottom w:val="80"/>
          <w:divBdr>
            <w:top w:val="none" w:sz="0" w:space="0" w:color="auto"/>
            <w:left w:val="none" w:sz="0" w:space="0" w:color="auto"/>
            <w:bottom w:val="none" w:sz="0" w:space="0" w:color="auto"/>
            <w:right w:val="none" w:sz="0" w:space="0" w:color="auto"/>
          </w:divBdr>
        </w:div>
      </w:divsChild>
    </w:div>
    <w:div w:id="532040803">
      <w:bodyDiv w:val="1"/>
      <w:marLeft w:val="0"/>
      <w:marRight w:val="0"/>
      <w:marTop w:val="0"/>
      <w:marBottom w:val="0"/>
      <w:divBdr>
        <w:top w:val="none" w:sz="0" w:space="0" w:color="auto"/>
        <w:left w:val="none" w:sz="0" w:space="0" w:color="auto"/>
        <w:bottom w:val="none" w:sz="0" w:space="0" w:color="auto"/>
        <w:right w:val="none" w:sz="0" w:space="0" w:color="auto"/>
      </w:divBdr>
    </w:div>
    <w:div w:id="553547966">
      <w:bodyDiv w:val="1"/>
      <w:marLeft w:val="0"/>
      <w:marRight w:val="0"/>
      <w:marTop w:val="0"/>
      <w:marBottom w:val="0"/>
      <w:divBdr>
        <w:top w:val="none" w:sz="0" w:space="0" w:color="auto"/>
        <w:left w:val="none" w:sz="0" w:space="0" w:color="auto"/>
        <w:bottom w:val="none" w:sz="0" w:space="0" w:color="auto"/>
        <w:right w:val="none" w:sz="0" w:space="0" w:color="auto"/>
      </w:divBdr>
    </w:div>
    <w:div w:id="569577093">
      <w:bodyDiv w:val="1"/>
      <w:marLeft w:val="0"/>
      <w:marRight w:val="0"/>
      <w:marTop w:val="0"/>
      <w:marBottom w:val="0"/>
      <w:divBdr>
        <w:top w:val="none" w:sz="0" w:space="0" w:color="auto"/>
        <w:left w:val="none" w:sz="0" w:space="0" w:color="auto"/>
        <w:bottom w:val="none" w:sz="0" w:space="0" w:color="auto"/>
        <w:right w:val="none" w:sz="0" w:space="0" w:color="auto"/>
      </w:divBdr>
    </w:div>
    <w:div w:id="576474352">
      <w:bodyDiv w:val="1"/>
      <w:marLeft w:val="0"/>
      <w:marRight w:val="0"/>
      <w:marTop w:val="0"/>
      <w:marBottom w:val="0"/>
      <w:divBdr>
        <w:top w:val="none" w:sz="0" w:space="0" w:color="auto"/>
        <w:left w:val="none" w:sz="0" w:space="0" w:color="auto"/>
        <w:bottom w:val="none" w:sz="0" w:space="0" w:color="auto"/>
        <w:right w:val="none" w:sz="0" w:space="0" w:color="auto"/>
      </w:divBdr>
    </w:div>
    <w:div w:id="588009201">
      <w:bodyDiv w:val="1"/>
      <w:marLeft w:val="0"/>
      <w:marRight w:val="0"/>
      <w:marTop w:val="0"/>
      <w:marBottom w:val="0"/>
      <w:divBdr>
        <w:top w:val="none" w:sz="0" w:space="0" w:color="auto"/>
        <w:left w:val="none" w:sz="0" w:space="0" w:color="auto"/>
        <w:bottom w:val="none" w:sz="0" w:space="0" w:color="auto"/>
        <w:right w:val="none" w:sz="0" w:space="0" w:color="auto"/>
      </w:divBdr>
    </w:div>
    <w:div w:id="665016746">
      <w:bodyDiv w:val="1"/>
      <w:marLeft w:val="0"/>
      <w:marRight w:val="0"/>
      <w:marTop w:val="0"/>
      <w:marBottom w:val="0"/>
      <w:divBdr>
        <w:top w:val="none" w:sz="0" w:space="0" w:color="auto"/>
        <w:left w:val="none" w:sz="0" w:space="0" w:color="auto"/>
        <w:bottom w:val="none" w:sz="0" w:space="0" w:color="auto"/>
        <w:right w:val="none" w:sz="0" w:space="0" w:color="auto"/>
      </w:divBdr>
    </w:div>
    <w:div w:id="691885422">
      <w:bodyDiv w:val="1"/>
      <w:marLeft w:val="0"/>
      <w:marRight w:val="0"/>
      <w:marTop w:val="0"/>
      <w:marBottom w:val="0"/>
      <w:divBdr>
        <w:top w:val="none" w:sz="0" w:space="0" w:color="auto"/>
        <w:left w:val="none" w:sz="0" w:space="0" w:color="auto"/>
        <w:bottom w:val="none" w:sz="0" w:space="0" w:color="auto"/>
        <w:right w:val="none" w:sz="0" w:space="0" w:color="auto"/>
      </w:divBdr>
      <w:divsChild>
        <w:div w:id="1105231425">
          <w:marLeft w:val="60"/>
          <w:marRight w:val="60"/>
          <w:marTop w:val="0"/>
          <w:marBottom w:val="80"/>
          <w:divBdr>
            <w:top w:val="none" w:sz="0" w:space="0" w:color="auto"/>
            <w:left w:val="none" w:sz="0" w:space="0" w:color="auto"/>
            <w:bottom w:val="none" w:sz="0" w:space="0" w:color="auto"/>
            <w:right w:val="none" w:sz="0" w:space="0" w:color="auto"/>
          </w:divBdr>
        </w:div>
        <w:div w:id="1111510750">
          <w:marLeft w:val="60"/>
          <w:marRight w:val="60"/>
          <w:marTop w:val="0"/>
          <w:marBottom w:val="80"/>
          <w:divBdr>
            <w:top w:val="none" w:sz="0" w:space="0" w:color="auto"/>
            <w:left w:val="none" w:sz="0" w:space="0" w:color="auto"/>
            <w:bottom w:val="none" w:sz="0" w:space="0" w:color="auto"/>
            <w:right w:val="none" w:sz="0" w:space="0" w:color="auto"/>
          </w:divBdr>
        </w:div>
        <w:div w:id="975141834">
          <w:marLeft w:val="60"/>
          <w:marRight w:val="60"/>
          <w:marTop w:val="0"/>
          <w:marBottom w:val="80"/>
          <w:divBdr>
            <w:top w:val="none" w:sz="0" w:space="0" w:color="auto"/>
            <w:left w:val="none" w:sz="0" w:space="0" w:color="auto"/>
            <w:bottom w:val="none" w:sz="0" w:space="0" w:color="auto"/>
            <w:right w:val="none" w:sz="0" w:space="0" w:color="auto"/>
          </w:divBdr>
        </w:div>
        <w:div w:id="609703807">
          <w:marLeft w:val="60"/>
          <w:marRight w:val="60"/>
          <w:marTop w:val="0"/>
          <w:marBottom w:val="80"/>
          <w:divBdr>
            <w:top w:val="none" w:sz="0" w:space="0" w:color="auto"/>
            <w:left w:val="none" w:sz="0" w:space="0" w:color="auto"/>
            <w:bottom w:val="none" w:sz="0" w:space="0" w:color="auto"/>
            <w:right w:val="none" w:sz="0" w:space="0" w:color="auto"/>
          </w:divBdr>
        </w:div>
        <w:div w:id="1090545696">
          <w:marLeft w:val="60"/>
          <w:marRight w:val="60"/>
          <w:marTop w:val="0"/>
          <w:marBottom w:val="80"/>
          <w:divBdr>
            <w:top w:val="none" w:sz="0" w:space="0" w:color="auto"/>
            <w:left w:val="none" w:sz="0" w:space="0" w:color="auto"/>
            <w:bottom w:val="none" w:sz="0" w:space="0" w:color="auto"/>
            <w:right w:val="none" w:sz="0" w:space="0" w:color="auto"/>
          </w:divBdr>
        </w:div>
      </w:divsChild>
    </w:div>
    <w:div w:id="703751219">
      <w:bodyDiv w:val="1"/>
      <w:marLeft w:val="0"/>
      <w:marRight w:val="0"/>
      <w:marTop w:val="0"/>
      <w:marBottom w:val="0"/>
      <w:divBdr>
        <w:top w:val="none" w:sz="0" w:space="0" w:color="auto"/>
        <w:left w:val="none" w:sz="0" w:space="0" w:color="auto"/>
        <w:bottom w:val="none" w:sz="0" w:space="0" w:color="auto"/>
        <w:right w:val="none" w:sz="0" w:space="0" w:color="auto"/>
      </w:divBdr>
      <w:divsChild>
        <w:div w:id="169419112">
          <w:marLeft w:val="0"/>
          <w:marRight w:val="0"/>
          <w:marTop w:val="0"/>
          <w:marBottom w:val="0"/>
          <w:divBdr>
            <w:top w:val="none" w:sz="0" w:space="0" w:color="auto"/>
            <w:left w:val="none" w:sz="0" w:space="0" w:color="auto"/>
            <w:bottom w:val="none" w:sz="0" w:space="0" w:color="auto"/>
            <w:right w:val="none" w:sz="0" w:space="0" w:color="auto"/>
          </w:divBdr>
        </w:div>
      </w:divsChild>
    </w:div>
    <w:div w:id="743989427">
      <w:bodyDiv w:val="1"/>
      <w:marLeft w:val="0"/>
      <w:marRight w:val="0"/>
      <w:marTop w:val="0"/>
      <w:marBottom w:val="0"/>
      <w:divBdr>
        <w:top w:val="none" w:sz="0" w:space="0" w:color="auto"/>
        <w:left w:val="none" w:sz="0" w:space="0" w:color="auto"/>
        <w:bottom w:val="none" w:sz="0" w:space="0" w:color="auto"/>
        <w:right w:val="none" w:sz="0" w:space="0" w:color="auto"/>
      </w:divBdr>
      <w:divsChild>
        <w:div w:id="1515193915">
          <w:marLeft w:val="60"/>
          <w:marRight w:val="60"/>
          <w:marTop w:val="0"/>
          <w:marBottom w:val="80"/>
          <w:divBdr>
            <w:top w:val="none" w:sz="0" w:space="0" w:color="auto"/>
            <w:left w:val="none" w:sz="0" w:space="0" w:color="auto"/>
            <w:bottom w:val="none" w:sz="0" w:space="0" w:color="auto"/>
            <w:right w:val="none" w:sz="0" w:space="0" w:color="auto"/>
          </w:divBdr>
        </w:div>
        <w:div w:id="64619008">
          <w:marLeft w:val="60"/>
          <w:marRight w:val="60"/>
          <w:marTop w:val="0"/>
          <w:marBottom w:val="80"/>
          <w:divBdr>
            <w:top w:val="none" w:sz="0" w:space="0" w:color="auto"/>
            <w:left w:val="none" w:sz="0" w:space="0" w:color="auto"/>
            <w:bottom w:val="none" w:sz="0" w:space="0" w:color="auto"/>
            <w:right w:val="none" w:sz="0" w:space="0" w:color="auto"/>
          </w:divBdr>
        </w:div>
        <w:div w:id="1269195140">
          <w:marLeft w:val="60"/>
          <w:marRight w:val="60"/>
          <w:marTop w:val="0"/>
          <w:marBottom w:val="80"/>
          <w:divBdr>
            <w:top w:val="none" w:sz="0" w:space="0" w:color="auto"/>
            <w:left w:val="none" w:sz="0" w:space="0" w:color="auto"/>
            <w:bottom w:val="none" w:sz="0" w:space="0" w:color="auto"/>
            <w:right w:val="none" w:sz="0" w:space="0" w:color="auto"/>
          </w:divBdr>
        </w:div>
      </w:divsChild>
    </w:div>
    <w:div w:id="796266302">
      <w:bodyDiv w:val="1"/>
      <w:marLeft w:val="0"/>
      <w:marRight w:val="0"/>
      <w:marTop w:val="0"/>
      <w:marBottom w:val="0"/>
      <w:divBdr>
        <w:top w:val="none" w:sz="0" w:space="0" w:color="auto"/>
        <w:left w:val="none" w:sz="0" w:space="0" w:color="auto"/>
        <w:bottom w:val="none" w:sz="0" w:space="0" w:color="auto"/>
        <w:right w:val="none" w:sz="0" w:space="0" w:color="auto"/>
      </w:divBdr>
    </w:div>
    <w:div w:id="833690844">
      <w:bodyDiv w:val="1"/>
      <w:marLeft w:val="0"/>
      <w:marRight w:val="0"/>
      <w:marTop w:val="0"/>
      <w:marBottom w:val="0"/>
      <w:divBdr>
        <w:top w:val="none" w:sz="0" w:space="0" w:color="auto"/>
        <w:left w:val="none" w:sz="0" w:space="0" w:color="auto"/>
        <w:bottom w:val="none" w:sz="0" w:space="0" w:color="auto"/>
        <w:right w:val="none" w:sz="0" w:space="0" w:color="auto"/>
      </w:divBdr>
    </w:div>
    <w:div w:id="880093289">
      <w:bodyDiv w:val="1"/>
      <w:marLeft w:val="0"/>
      <w:marRight w:val="0"/>
      <w:marTop w:val="0"/>
      <w:marBottom w:val="0"/>
      <w:divBdr>
        <w:top w:val="none" w:sz="0" w:space="0" w:color="auto"/>
        <w:left w:val="none" w:sz="0" w:space="0" w:color="auto"/>
        <w:bottom w:val="none" w:sz="0" w:space="0" w:color="auto"/>
        <w:right w:val="none" w:sz="0" w:space="0" w:color="auto"/>
      </w:divBdr>
    </w:div>
    <w:div w:id="944994541">
      <w:bodyDiv w:val="1"/>
      <w:marLeft w:val="0"/>
      <w:marRight w:val="0"/>
      <w:marTop w:val="0"/>
      <w:marBottom w:val="0"/>
      <w:divBdr>
        <w:top w:val="none" w:sz="0" w:space="0" w:color="auto"/>
        <w:left w:val="none" w:sz="0" w:space="0" w:color="auto"/>
        <w:bottom w:val="none" w:sz="0" w:space="0" w:color="auto"/>
        <w:right w:val="none" w:sz="0" w:space="0" w:color="auto"/>
      </w:divBdr>
    </w:div>
    <w:div w:id="982389102">
      <w:bodyDiv w:val="1"/>
      <w:marLeft w:val="0"/>
      <w:marRight w:val="0"/>
      <w:marTop w:val="0"/>
      <w:marBottom w:val="0"/>
      <w:divBdr>
        <w:top w:val="none" w:sz="0" w:space="0" w:color="auto"/>
        <w:left w:val="none" w:sz="0" w:space="0" w:color="auto"/>
        <w:bottom w:val="none" w:sz="0" w:space="0" w:color="auto"/>
        <w:right w:val="none" w:sz="0" w:space="0" w:color="auto"/>
      </w:divBdr>
    </w:div>
    <w:div w:id="1004357231">
      <w:bodyDiv w:val="1"/>
      <w:marLeft w:val="0"/>
      <w:marRight w:val="0"/>
      <w:marTop w:val="0"/>
      <w:marBottom w:val="0"/>
      <w:divBdr>
        <w:top w:val="none" w:sz="0" w:space="0" w:color="auto"/>
        <w:left w:val="none" w:sz="0" w:space="0" w:color="auto"/>
        <w:bottom w:val="none" w:sz="0" w:space="0" w:color="auto"/>
        <w:right w:val="none" w:sz="0" w:space="0" w:color="auto"/>
      </w:divBdr>
    </w:div>
    <w:div w:id="1075936881">
      <w:bodyDiv w:val="1"/>
      <w:marLeft w:val="0"/>
      <w:marRight w:val="0"/>
      <w:marTop w:val="0"/>
      <w:marBottom w:val="0"/>
      <w:divBdr>
        <w:top w:val="none" w:sz="0" w:space="0" w:color="auto"/>
        <w:left w:val="none" w:sz="0" w:space="0" w:color="auto"/>
        <w:bottom w:val="none" w:sz="0" w:space="0" w:color="auto"/>
        <w:right w:val="none" w:sz="0" w:space="0" w:color="auto"/>
      </w:divBdr>
    </w:div>
    <w:div w:id="1112018714">
      <w:bodyDiv w:val="1"/>
      <w:marLeft w:val="0"/>
      <w:marRight w:val="0"/>
      <w:marTop w:val="0"/>
      <w:marBottom w:val="0"/>
      <w:divBdr>
        <w:top w:val="none" w:sz="0" w:space="0" w:color="auto"/>
        <w:left w:val="none" w:sz="0" w:space="0" w:color="auto"/>
        <w:bottom w:val="none" w:sz="0" w:space="0" w:color="auto"/>
        <w:right w:val="none" w:sz="0" w:space="0" w:color="auto"/>
      </w:divBdr>
    </w:div>
    <w:div w:id="1113282627">
      <w:bodyDiv w:val="1"/>
      <w:marLeft w:val="0"/>
      <w:marRight w:val="0"/>
      <w:marTop w:val="0"/>
      <w:marBottom w:val="0"/>
      <w:divBdr>
        <w:top w:val="none" w:sz="0" w:space="0" w:color="auto"/>
        <w:left w:val="none" w:sz="0" w:space="0" w:color="auto"/>
        <w:bottom w:val="none" w:sz="0" w:space="0" w:color="auto"/>
        <w:right w:val="none" w:sz="0" w:space="0" w:color="auto"/>
      </w:divBdr>
    </w:div>
    <w:div w:id="1179275219">
      <w:bodyDiv w:val="1"/>
      <w:marLeft w:val="0"/>
      <w:marRight w:val="0"/>
      <w:marTop w:val="0"/>
      <w:marBottom w:val="0"/>
      <w:divBdr>
        <w:top w:val="none" w:sz="0" w:space="0" w:color="auto"/>
        <w:left w:val="none" w:sz="0" w:space="0" w:color="auto"/>
        <w:bottom w:val="none" w:sz="0" w:space="0" w:color="auto"/>
        <w:right w:val="none" w:sz="0" w:space="0" w:color="auto"/>
      </w:divBdr>
    </w:div>
    <w:div w:id="1216547695">
      <w:bodyDiv w:val="1"/>
      <w:marLeft w:val="0"/>
      <w:marRight w:val="0"/>
      <w:marTop w:val="0"/>
      <w:marBottom w:val="0"/>
      <w:divBdr>
        <w:top w:val="none" w:sz="0" w:space="0" w:color="auto"/>
        <w:left w:val="none" w:sz="0" w:space="0" w:color="auto"/>
        <w:bottom w:val="none" w:sz="0" w:space="0" w:color="auto"/>
        <w:right w:val="none" w:sz="0" w:space="0" w:color="auto"/>
      </w:divBdr>
    </w:div>
    <w:div w:id="1217856578">
      <w:bodyDiv w:val="1"/>
      <w:marLeft w:val="0"/>
      <w:marRight w:val="0"/>
      <w:marTop w:val="0"/>
      <w:marBottom w:val="0"/>
      <w:divBdr>
        <w:top w:val="none" w:sz="0" w:space="0" w:color="auto"/>
        <w:left w:val="none" w:sz="0" w:space="0" w:color="auto"/>
        <w:bottom w:val="none" w:sz="0" w:space="0" w:color="auto"/>
        <w:right w:val="none" w:sz="0" w:space="0" w:color="auto"/>
      </w:divBdr>
    </w:div>
    <w:div w:id="1310402670">
      <w:bodyDiv w:val="1"/>
      <w:marLeft w:val="0"/>
      <w:marRight w:val="0"/>
      <w:marTop w:val="0"/>
      <w:marBottom w:val="0"/>
      <w:divBdr>
        <w:top w:val="none" w:sz="0" w:space="0" w:color="auto"/>
        <w:left w:val="none" w:sz="0" w:space="0" w:color="auto"/>
        <w:bottom w:val="none" w:sz="0" w:space="0" w:color="auto"/>
        <w:right w:val="none" w:sz="0" w:space="0" w:color="auto"/>
      </w:divBdr>
      <w:divsChild>
        <w:div w:id="332684891">
          <w:marLeft w:val="60"/>
          <w:marRight w:val="60"/>
          <w:marTop w:val="0"/>
          <w:marBottom w:val="80"/>
          <w:divBdr>
            <w:top w:val="none" w:sz="0" w:space="0" w:color="auto"/>
            <w:left w:val="none" w:sz="0" w:space="0" w:color="auto"/>
            <w:bottom w:val="none" w:sz="0" w:space="0" w:color="auto"/>
            <w:right w:val="none" w:sz="0" w:space="0" w:color="auto"/>
          </w:divBdr>
        </w:div>
        <w:div w:id="1809131724">
          <w:marLeft w:val="60"/>
          <w:marRight w:val="60"/>
          <w:marTop w:val="0"/>
          <w:marBottom w:val="80"/>
          <w:divBdr>
            <w:top w:val="none" w:sz="0" w:space="0" w:color="auto"/>
            <w:left w:val="none" w:sz="0" w:space="0" w:color="auto"/>
            <w:bottom w:val="none" w:sz="0" w:space="0" w:color="auto"/>
            <w:right w:val="none" w:sz="0" w:space="0" w:color="auto"/>
          </w:divBdr>
        </w:div>
        <w:div w:id="1077944643">
          <w:marLeft w:val="60"/>
          <w:marRight w:val="60"/>
          <w:marTop w:val="0"/>
          <w:marBottom w:val="80"/>
          <w:divBdr>
            <w:top w:val="none" w:sz="0" w:space="0" w:color="auto"/>
            <w:left w:val="none" w:sz="0" w:space="0" w:color="auto"/>
            <w:bottom w:val="none" w:sz="0" w:space="0" w:color="auto"/>
            <w:right w:val="none" w:sz="0" w:space="0" w:color="auto"/>
          </w:divBdr>
        </w:div>
        <w:div w:id="512189004">
          <w:marLeft w:val="60"/>
          <w:marRight w:val="60"/>
          <w:marTop w:val="0"/>
          <w:marBottom w:val="80"/>
          <w:divBdr>
            <w:top w:val="none" w:sz="0" w:space="0" w:color="auto"/>
            <w:left w:val="none" w:sz="0" w:space="0" w:color="auto"/>
            <w:bottom w:val="none" w:sz="0" w:space="0" w:color="auto"/>
            <w:right w:val="none" w:sz="0" w:space="0" w:color="auto"/>
          </w:divBdr>
        </w:div>
        <w:div w:id="512457595">
          <w:marLeft w:val="60"/>
          <w:marRight w:val="60"/>
          <w:marTop w:val="0"/>
          <w:marBottom w:val="80"/>
          <w:divBdr>
            <w:top w:val="none" w:sz="0" w:space="0" w:color="auto"/>
            <w:left w:val="none" w:sz="0" w:space="0" w:color="auto"/>
            <w:bottom w:val="none" w:sz="0" w:space="0" w:color="auto"/>
            <w:right w:val="none" w:sz="0" w:space="0" w:color="auto"/>
          </w:divBdr>
        </w:div>
      </w:divsChild>
    </w:div>
    <w:div w:id="1317539596">
      <w:bodyDiv w:val="1"/>
      <w:marLeft w:val="0"/>
      <w:marRight w:val="0"/>
      <w:marTop w:val="0"/>
      <w:marBottom w:val="0"/>
      <w:divBdr>
        <w:top w:val="none" w:sz="0" w:space="0" w:color="auto"/>
        <w:left w:val="none" w:sz="0" w:space="0" w:color="auto"/>
        <w:bottom w:val="none" w:sz="0" w:space="0" w:color="auto"/>
        <w:right w:val="none" w:sz="0" w:space="0" w:color="auto"/>
      </w:divBdr>
    </w:div>
    <w:div w:id="1331757830">
      <w:bodyDiv w:val="1"/>
      <w:marLeft w:val="0"/>
      <w:marRight w:val="0"/>
      <w:marTop w:val="0"/>
      <w:marBottom w:val="0"/>
      <w:divBdr>
        <w:top w:val="none" w:sz="0" w:space="0" w:color="auto"/>
        <w:left w:val="none" w:sz="0" w:space="0" w:color="auto"/>
        <w:bottom w:val="none" w:sz="0" w:space="0" w:color="auto"/>
        <w:right w:val="none" w:sz="0" w:space="0" w:color="auto"/>
      </w:divBdr>
    </w:div>
    <w:div w:id="1361593647">
      <w:bodyDiv w:val="1"/>
      <w:marLeft w:val="0"/>
      <w:marRight w:val="0"/>
      <w:marTop w:val="0"/>
      <w:marBottom w:val="0"/>
      <w:divBdr>
        <w:top w:val="none" w:sz="0" w:space="0" w:color="auto"/>
        <w:left w:val="none" w:sz="0" w:space="0" w:color="auto"/>
        <w:bottom w:val="none" w:sz="0" w:space="0" w:color="auto"/>
        <w:right w:val="none" w:sz="0" w:space="0" w:color="auto"/>
      </w:divBdr>
      <w:divsChild>
        <w:div w:id="1138494446">
          <w:marLeft w:val="60"/>
          <w:marRight w:val="60"/>
          <w:marTop w:val="0"/>
          <w:marBottom w:val="80"/>
          <w:divBdr>
            <w:top w:val="none" w:sz="0" w:space="0" w:color="auto"/>
            <w:left w:val="none" w:sz="0" w:space="0" w:color="auto"/>
            <w:bottom w:val="none" w:sz="0" w:space="0" w:color="auto"/>
            <w:right w:val="none" w:sz="0" w:space="0" w:color="auto"/>
          </w:divBdr>
        </w:div>
        <w:div w:id="1062872724">
          <w:marLeft w:val="60"/>
          <w:marRight w:val="60"/>
          <w:marTop w:val="0"/>
          <w:marBottom w:val="80"/>
          <w:divBdr>
            <w:top w:val="none" w:sz="0" w:space="0" w:color="auto"/>
            <w:left w:val="none" w:sz="0" w:space="0" w:color="auto"/>
            <w:bottom w:val="none" w:sz="0" w:space="0" w:color="auto"/>
            <w:right w:val="none" w:sz="0" w:space="0" w:color="auto"/>
          </w:divBdr>
        </w:div>
        <w:div w:id="499008689">
          <w:marLeft w:val="60"/>
          <w:marRight w:val="60"/>
          <w:marTop w:val="0"/>
          <w:marBottom w:val="80"/>
          <w:divBdr>
            <w:top w:val="none" w:sz="0" w:space="0" w:color="auto"/>
            <w:left w:val="none" w:sz="0" w:space="0" w:color="auto"/>
            <w:bottom w:val="none" w:sz="0" w:space="0" w:color="auto"/>
            <w:right w:val="none" w:sz="0" w:space="0" w:color="auto"/>
          </w:divBdr>
        </w:div>
      </w:divsChild>
    </w:div>
    <w:div w:id="1367490956">
      <w:bodyDiv w:val="1"/>
      <w:marLeft w:val="0"/>
      <w:marRight w:val="0"/>
      <w:marTop w:val="0"/>
      <w:marBottom w:val="0"/>
      <w:divBdr>
        <w:top w:val="none" w:sz="0" w:space="0" w:color="auto"/>
        <w:left w:val="none" w:sz="0" w:space="0" w:color="auto"/>
        <w:bottom w:val="none" w:sz="0" w:space="0" w:color="auto"/>
        <w:right w:val="none" w:sz="0" w:space="0" w:color="auto"/>
      </w:divBdr>
    </w:div>
    <w:div w:id="1385760964">
      <w:bodyDiv w:val="1"/>
      <w:marLeft w:val="0"/>
      <w:marRight w:val="0"/>
      <w:marTop w:val="0"/>
      <w:marBottom w:val="0"/>
      <w:divBdr>
        <w:top w:val="none" w:sz="0" w:space="0" w:color="auto"/>
        <w:left w:val="none" w:sz="0" w:space="0" w:color="auto"/>
        <w:bottom w:val="none" w:sz="0" w:space="0" w:color="auto"/>
        <w:right w:val="none" w:sz="0" w:space="0" w:color="auto"/>
      </w:divBdr>
    </w:div>
    <w:div w:id="1395203542">
      <w:bodyDiv w:val="1"/>
      <w:marLeft w:val="0"/>
      <w:marRight w:val="0"/>
      <w:marTop w:val="0"/>
      <w:marBottom w:val="0"/>
      <w:divBdr>
        <w:top w:val="none" w:sz="0" w:space="0" w:color="auto"/>
        <w:left w:val="none" w:sz="0" w:space="0" w:color="auto"/>
        <w:bottom w:val="none" w:sz="0" w:space="0" w:color="auto"/>
        <w:right w:val="none" w:sz="0" w:space="0" w:color="auto"/>
      </w:divBdr>
    </w:div>
    <w:div w:id="1484395398">
      <w:bodyDiv w:val="1"/>
      <w:marLeft w:val="0"/>
      <w:marRight w:val="0"/>
      <w:marTop w:val="0"/>
      <w:marBottom w:val="0"/>
      <w:divBdr>
        <w:top w:val="none" w:sz="0" w:space="0" w:color="auto"/>
        <w:left w:val="none" w:sz="0" w:space="0" w:color="auto"/>
        <w:bottom w:val="none" w:sz="0" w:space="0" w:color="auto"/>
        <w:right w:val="none" w:sz="0" w:space="0" w:color="auto"/>
      </w:divBdr>
      <w:divsChild>
        <w:div w:id="430589525">
          <w:marLeft w:val="60"/>
          <w:marRight w:val="60"/>
          <w:marTop w:val="0"/>
          <w:marBottom w:val="80"/>
          <w:divBdr>
            <w:top w:val="none" w:sz="0" w:space="0" w:color="auto"/>
            <w:left w:val="none" w:sz="0" w:space="0" w:color="auto"/>
            <w:bottom w:val="none" w:sz="0" w:space="0" w:color="auto"/>
            <w:right w:val="none" w:sz="0" w:space="0" w:color="auto"/>
          </w:divBdr>
        </w:div>
        <w:div w:id="1314990799">
          <w:marLeft w:val="60"/>
          <w:marRight w:val="60"/>
          <w:marTop w:val="0"/>
          <w:marBottom w:val="80"/>
          <w:divBdr>
            <w:top w:val="none" w:sz="0" w:space="0" w:color="auto"/>
            <w:left w:val="none" w:sz="0" w:space="0" w:color="auto"/>
            <w:bottom w:val="none" w:sz="0" w:space="0" w:color="auto"/>
            <w:right w:val="none" w:sz="0" w:space="0" w:color="auto"/>
          </w:divBdr>
        </w:div>
        <w:div w:id="1633556235">
          <w:marLeft w:val="60"/>
          <w:marRight w:val="60"/>
          <w:marTop w:val="0"/>
          <w:marBottom w:val="80"/>
          <w:divBdr>
            <w:top w:val="none" w:sz="0" w:space="0" w:color="auto"/>
            <w:left w:val="none" w:sz="0" w:space="0" w:color="auto"/>
            <w:bottom w:val="none" w:sz="0" w:space="0" w:color="auto"/>
            <w:right w:val="none" w:sz="0" w:space="0" w:color="auto"/>
          </w:divBdr>
        </w:div>
        <w:div w:id="132867955">
          <w:marLeft w:val="60"/>
          <w:marRight w:val="60"/>
          <w:marTop w:val="0"/>
          <w:marBottom w:val="80"/>
          <w:divBdr>
            <w:top w:val="none" w:sz="0" w:space="0" w:color="auto"/>
            <w:left w:val="none" w:sz="0" w:space="0" w:color="auto"/>
            <w:bottom w:val="none" w:sz="0" w:space="0" w:color="auto"/>
            <w:right w:val="none" w:sz="0" w:space="0" w:color="auto"/>
          </w:divBdr>
        </w:div>
      </w:divsChild>
    </w:div>
    <w:div w:id="1508134078">
      <w:bodyDiv w:val="1"/>
      <w:marLeft w:val="0"/>
      <w:marRight w:val="0"/>
      <w:marTop w:val="0"/>
      <w:marBottom w:val="0"/>
      <w:divBdr>
        <w:top w:val="none" w:sz="0" w:space="0" w:color="auto"/>
        <w:left w:val="none" w:sz="0" w:space="0" w:color="auto"/>
        <w:bottom w:val="none" w:sz="0" w:space="0" w:color="auto"/>
        <w:right w:val="none" w:sz="0" w:space="0" w:color="auto"/>
      </w:divBdr>
    </w:div>
    <w:div w:id="1759520897">
      <w:bodyDiv w:val="1"/>
      <w:marLeft w:val="0"/>
      <w:marRight w:val="0"/>
      <w:marTop w:val="0"/>
      <w:marBottom w:val="0"/>
      <w:divBdr>
        <w:top w:val="none" w:sz="0" w:space="0" w:color="auto"/>
        <w:left w:val="none" w:sz="0" w:space="0" w:color="auto"/>
        <w:bottom w:val="none" w:sz="0" w:space="0" w:color="auto"/>
        <w:right w:val="none" w:sz="0" w:space="0" w:color="auto"/>
      </w:divBdr>
    </w:div>
    <w:div w:id="1763988196">
      <w:bodyDiv w:val="1"/>
      <w:marLeft w:val="0"/>
      <w:marRight w:val="0"/>
      <w:marTop w:val="0"/>
      <w:marBottom w:val="0"/>
      <w:divBdr>
        <w:top w:val="none" w:sz="0" w:space="0" w:color="auto"/>
        <w:left w:val="none" w:sz="0" w:space="0" w:color="auto"/>
        <w:bottom w:val="none" w:sz="0" w:space="0" w:color="auto"/>
        <w:right w:val="none" w:sz="0" w:space="0" w:color="auto"/>
      </w:divBdr>
      <w:divsChild>
        <w:div w:id="511841484">
          <w:marLeft w:val="60"/>
          <w:marRight w:val="60"/>
          <w:marTop w:val="0"/>
          <w:marBottom w:val="80"/>
          <w:divBdr>
            <w:top w:val="none" w:sz="0" w:space="0" w:color="auto"/>
            <w:left w:val="none" w:sz="0" w:space="0" w:color="auto"/>
            <w:bottom w:val="none" w:sz="0" w:space="0" w:color="auto"/>
            <w:right w:val="none" w:sz="0" w:space="0" w:color="auto"/>
          </w:divBdr>
        </w:div>
        <w:div w:id="1664894513">
          <w:marLeft w:val="60"/>
          <w:marRight w:val="60"/>
          <w:marTop w:val="0"/>
          <w:marBottom w:val="80"/>
          <w:divBdr>
            <w:top w:val="none" w:sz="0" w:space="0" w:color="auto"/>
            <w:left w:val="none" w:sz="0" w:space="0" w:color="auto"/>
            <w:bottom w:val="none" w:sz="0" w:space="0" w:color="auto"/>
            <w:right w:val="none" w:sz="0" w:space="0" w:color="auto"/>
          </w:divBdr>
        </w:div>
      </w:divsChild>
    </w:div>
    <w:div w:id="1783455056">
      <w:bodyDiv w:val="1"/>
      <w:marLeft w:val="0"/>
      <w:marRight w:val="0"/>
      <w:marTop w:val="0"/>
      <w:marBottom w:val="0"/>
      <w:divBdr>
        <w:top w:val="none" w:sz="0" w:space="0" w:color="auto"/>
        <w:left w:val="none" w:sz="0" w:space="0" w:color="auto"/>
        <w:bottom w:val="none" w:sz="0" w:space="0" w:color="auto"/>
        <w:right w:val="none" w:sz="0" w:space="0" w:color="auto"/>
      </w:divBdr>
    </w:div>
    <w:div w:id="1789005364">
      <w:bodyDiv w:val="1"/>
      <w:marLeft w:val="0"/>
      <w:marRight w:val="0"/>
      <w:marTop w:val="0"/>
      <w:marBottom w:val="0"/>
      <w:divBdr>
        <w:top w:val="none" w:sz="0" w:space="0" w:color="auto"/>
        <w:left w:val="none" w:sz="0" w:space="0" w:color="auto"/>
        <w:bottom w:val="none" w:sz="0" w:space="0" w:color="auto"/>
        <w:right w:val="none" w:sz="0" w:space="0" w:color="auto"/>
      </w:divBdr>
    </w:div>
    <w:div w:id="1808231923">
      <w:bodyDiv w:val="1"/>
      <w:marLeft w:val="0"/>
      <w:marRight w:val="0"/>
      <w:marTop w:val="0"/>
      <w:marBottom w:val="0"/>
      <w:divBdr>
        <w:top w:val="none" w:sz="0" w:space="0" w:color="auto"/>
        <w:left w:val="none" w:sz="0" w:space="0" w:color="auto"/>
        <w:bottom w:val="none" w:sz="0" w:space="0" w:color="auto"/>
        <w:right w:val="none" w:sz="0" w:space="0" w:color="auto"/>
      </w:divBdr>
    </w:div>
    <w:div w:id="1871717891">
      <w:bodyDiv w:val="1"/>
      <w:marLeft w:val="0"/>
      <w:marRight w:val="0"/>
      <w:marTop w:val="0"/>
      <w:marBottom w:val="0"/>
      <w:divBdr>
        <w:top w:val="none" w:sz="0" w:space="0" w:color="auto"/>
        <w:left w:val="none" w:sz="0" w:space="0" w:color="auto"/>
        <w:bottom w:val="none" w:sz="0" w:space="0" w:color="auto"/>
        <w:right w:val="none" w:sz="0" w:space="0" w:color="auto"/>
      </w:divBdr>
    </w:div>
    <w:div w:id="1923679000">
      <w:bodyDiv w:val="1"/>
      <w:marLeft w:val="0"/>
      <w:marRight w:val="0"/>
      <w:marTop w:val="0"/>
      <w:marBottom w:val="0"/>
      <w:divBdr>
        <w:top w:val="none" w:sz="0" w:space="0" w:color="auto"/>
        <w:left w:val="none" w:sz="0" w:space="0" w:color="auto"/>
        <w:bottom w:val="none" w:sz="0" w:space="0" w:color="auto"/>
        <w:right w:val="none" w:sz="0" w:space="0" w:color="auto"/>
      </w:divBdr>
      <w:divsChild>
        <w:div w:id="833571595">
          <w:marLeft w:val="0"/>
          <w:marRight w:val="0"/>
          <w:marTop w:val="0"/>
          <w:marBottom w:val="0"/>
          <w:divBdr>
            <w:top w:val="none" w:sz="0" w:space="0" w:color="auto"/>
            <w:left w:val="none" w:sz="0" w:space="0" w:color="auto"/>
            <w:bottom w:val="none" w:sz="0" w:space="0" w:color="auto"/>
            <w:right w:val="none" w:sz="0" w:space="0" w:color="auto"/>
          </w:divBdr>
        </w:div>
      </w:divsChild>
    </w:div>
    <w:div w:id="2019118221">
      <w:bodyDiv w:val="1"/>
      <w:marLeft w:val="0"/>
      <w:marRight w:val="0"/>
      <w:marTop w:val="0"/>
      <w:marBottom w:val="0"/>
      <w:divBdr>
        <w:top w:val="none" w:sz="0" w:space="0" w:color="auto"/>
        <w:left w:val="none" w:sz="0" w:space="0" w:color="auto"/>
        <w:bottom w:val="none" w:sz="0" w:space="0" w:color="auto"/>
        <w:right w:val="none" w:sz="0" w:space="0" w:color="auto"/>
      </w:divBdr>
    </w:div>
    <w:div w:id="2032098991">
      <w:bodyDiv w:val="1"/>
      <w:marLeft w:val="0"/>
      <w:marRight w:val="0"/>
      <w:marTop w:val="0"/>
      <w:marBottom w:val="0"/>
      <w:divBdr>
        <w:top w:val="none" w:sz="0" w:space="0" w:color="auto"/>
        <w:left w:val="none" w:sz="0" w:space="0" w:color="auto"/>
        <w:bottom w:val="none" w:sz="0" w:space="0" w:color="auto"/>
        <w:right w:val="none" w:sz="0" w:space="0" w:color="auto"/>
      </w:divBdr>
    </w:div>
    <w:div w:id="2034258094">
      <w:bodyDiv w:val="1"/>
      <w:marLeft w:val="0"/>
      <w:marRight w:val="0"/>
      <w:marTop w:val="0"/>
      <w:marBottom w:val="0"/>
      <w:divBdr>
        <w:top w:val="none" w:sz="0" w:space="0" w:color="auto"/>
        <w:left w:val="none" w:sz="0" w:space="0" w:color="auto"/>
        <w:bottom w:val="none" w:sz="0" w:space="0" w:color="auto"/>
        <w:right w:val="none" w:sz="0" w:space="0" w:color="auto"/>
      </w:divBdr>
      <w:divsChild>
        <w:div w:id="1689481073">
          <w:marLeft w:val="60"/>
          <w:marRight w:val="60"/>
          <w:marTop w:val="0"/>
          <w:marBottom w:val="80"/>
          <w:divBdr>
            <w:top w:val="none" w:sz="0" w:space="0" w:color="auto"/>
            <w:left w:val="none" w:sz="0" w:space="0" w:color="auto"/>
            <w:bottom w:val="none" w:sz="0" w:space="0" w:color="auto"/>
            <w:right w:val="none" w:sz="0" w:space="0" w:color="auto"/>
          </w:divBdr>
        </w:div>
        <w:div w:id="1854610923">
          <w:marLeft w:val="60"/>
          <w:marRight w:val="60"/>
          <w:marTop w:val="0"/>
          <w:marBottom w:val="80"/>
          <w:divBdr>
            <w:top w:val="none" w:sz="0" w:space="0" w:color="auto"/>
            <w:left w:val="none" w:sz="0" w:space="0" w:color="auto"/>
            <w:bottom w:val="none" w:sz="0" w:space="0" w:color="auto"/>
            <w:right w:val="none" w:sz="0" w:space="0" w:color="auto"/>
          </w:divBdr>
        </w:div>
        <w:div w:id="1056203717">
          <w:marLeft w:val="60"/>
          <w:marRight w:val="60"/>
          <w:marTop w:val="0"/>
          <w:marBottom w:val="80"/>
          <w:divBdr>
            <w:top w:val="none" w:sz="0" w:space="0" w:color="auto"/>
            <w:left w:val="none" w:sz="0" w:space="0" w:color="auto"/>
            <w:bottom w:val="none" w:sz="0" w:space="0" w:color="auto"/>
            <w:right w:val="none" w:sz="0" w:space="0" w:color="auto"/>
          </w:divBdr>
        </w:div>
        <w:div w:id="501548629">
          <w:marLeft w:val="60"/>
          <w:marRight w:val="60"/>
          <w:marTop w:val="0"/>
          <w:marBottom w:val="80"/>
          <w:divBdr>
            <w:top w:val="none" w:sz="0" w:space="0" w:color="auto"/>
            <w:left w:val="none" w:sz="0" w:space="0" w:color="auto"/>
            <w:bottom w:val="none" w:sz="0" w:space="0" w:color="auto"/>
            <w:right w:val="none" w:sz="0" w:space="0" w:color="auto"/>
          </w:divBdr>
        </w:div>
      </w:divsChild>
    </w:div>
    <w:div w:id="2058507234">
      <w:bodyDiv w:val="1"/>
      <w:marLeft w:val="0"/>
      <w:marRight w:val="0"/>
      <w:marTop w:val="0"/>
      <w:marBottom w:val="0"/>
      <w:divBdr>
        <w:top w:val="none" w:sz="0" w:space="0" w:color="auto"/>
        <w:left w:val="none" w:sz="0" w:space="0" w:color="auto"/>
        <w:bottom w:val="none" w:sz="0" w:space="0" w:color="auto"/>
        <w:right w:val="none" w:sz="0" w:space="0" w:color="auto"/>
      </w:divBdr>
    </w:div>
    <w:div w:id="2081441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hyperlink" Target="javascript:void(0);" TargetMode="External"/><Relationship Id="rId3" Type="http://schemas.openxmlformats.org/officeDocument/2006/relationships/customXml" Target="../customXml/item3.xml"/><Relationship Id="rId21" Type="http://schemas.openxmlformats.org/officeDocument/2006/relationships/hyperlink" Target="javascript:void(0);"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javascript:void(0);" TargetMode="External"/><Relationship Id="rId20" Type="http://schemas.openxmlformats.org/officeDocument/2006/relationships/hyperlink" Target="javascript:void(0);" TargetMode="External"/><Relationship Id="rId29"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10" Type="http://schemas.openxmlformats.org/officeDocument/2006/relationships/endnotes" Target="endnotes.xml"/><Relationship Id="rId19" Type="http://schemas.openxmlformats.org/officeDocument/2006/relationships/hyperlink" Target="javascript:void(0);" TargetMode="External"/><Relationship Id="rId31" Type="http://schemas.openxmlformats.org/officeDocument/2006/relationships/hyperlink" Target="javascript:void(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cdb15f-a0b7-4b49-9c5d-f857c0d13822">
      <Terms xmlns="http://schemas.microsoft.com/office/infopath/2007/PartnerControls"/>
    </lcf76f155ced4ddcb4097134ff3c332f>
    <TaxCatchAll xmlns="d37676c7-51c9-4d12-93bf-f6a368207fc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DCFDCA14B59841AFB91297F53F2C7B" ma:contentTypeVersion="14" ma:contentTypeDescription="Create a new document." ma:contentTypeScope="" ma:versionID="84fe443bcc351d16cc362f82adc458cb">
  <xsd:schema xmlns:xsd="http://www.w3.org/2001/XMLSchema" xmlns:xs="http://www.w3.org/2001/XMLSchema" xmlns:p="http://schemas.microsoft.com/office/2006/metadata/properties" xmlns:ns2="edcdb15f-a0b7-4b49-9c5d-f857c0d13822" xmlns:ns3="d37676c7-51c9-4d12-93bf-f6a368207fc2" targetNamespace="http://schemas.microsoft.com/office/2006/metadata/properties" ma:root="true" ma:fieldsID="8a4c8c7f36a237a7d1d908f9663c2677" ns2:_="" ns3:_="">
    <xsd:import namespace="edcdb15f-a0b7-4b49-9c5d-f857c0d13822"/>
    <xsd:import namespace="d37676c7-51c9-4d12-93bf-f6a368207f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cdb15f-a0b7-4b49-9c5d-f857c0d138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7676c7-51c9-4d12-93bf-f6a368207fc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d46168-850f-4295-a0e7-a6a6b7ce9148}" ma:internalName="TaxCatchAll" ma:showField="CatchAllData" ma:web="d37676c7-51c9-4d12-93bf-f6a368207f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EB52EE-5FF4-4300-9CBF-74F76846C782}">
  <ds:schemaRefs>
    <ds:schemaRef ds:uri="http://schemas.microsoft.com/office/2006/metadata/properties"/>
    <ds:schemaRef ds:uri="http://schemas.microsoft.com/office/infopath/2007/PartnerControls"/>
    <ds:schemaRef ds:uri="edcdb15f-a0b7-4b49-9c5d-f857c0d13822"/>
    <ds:schemaRef ds:uri="d37676c7-51c9-4d12-93bf-f6a368207fc2"/>
  </ds:schemaRefs>
</ds:datastoreItem>
</file>

<file path=customXml/itemProps2.xml><?xml version="1.0" encoding="utf-8"?>
<ds:datastoreItem xmlns:ds="http://schemas.openxmlformats.org/officeDocument/2006/customXml" ds:itemID="{4067CD4F-55B7-4ACD-BA73-A2E26A8994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cdb15f-a0b7-4b49-9c5d-f857c0d13822"/>
    <ds:schemaRef ds:uri="d37676c7-51c9-4d12-93bf-f6a368207f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EE2BE2-249D-457F-AE8D-05ADE407A515}">
  <ds:schemaRefs>
    <ds:schemaRef ds:uri="http://schemas.openxmlformats.org/officeDocument/2006/bibliography"/>
  </ds:schemaRefs>
</ds:datastoreItem>
</file>

<file path=customXml/itemProps4.xml><?xml version="1.0" encoding="utf-8"?>
<ds:datastoreItem xmlns:ds="http://schemas.openxmlformats.org/officeDocument/2006/customXml" ds:itemID="{1AD6043F-9CCD-4093-8BB6-5AC8391436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2940</TotalTime>
  <Pages>6</Pages>
  <Words>2503</Words>
  <Characters>14272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Dalmiya</dc:creator>
  <cp:keywords/>
  <dc:description/>
  <cp:lastModifiedBy>Aditya J Patel</cp:lastModifiedBy>
  <cp:revision>411</cp:revision>
  <dcterms:created xsi:type="dcterms:W3CDTF">2024-04-16T14:30:00Z</dcterms:created>
  <dcterms:modified xsi:type="dcterms:W3CDTF">2025-04-04T05:47:00Z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df0d655deccf60acf1ef67c64167d2402f5b106234717a7140f2031c166f3137</vt:lpwstr>
  </property>
  <property fmtid="{D5CDD505-2E9C-101B-9397-08002B2CF9AE}" pid="3" name="ContentTypeId">
    <vt:lpwstr>0x01010090DCFDCA14B59841AFB91297F53F2C7B</vt:lpwstr>
  </property>
  <property fmtid="{D5CDD505-2E9C-101B-9397-08002B2CF9AE}" pid="4" name="MediaServiceImageTags">
    <vt:lpwstr/>
  </property>
</Properties>
</file>