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A1FF3" w14:textId="70C9D0CA" w:rsidR="00B31020" w:rsidRPr="002F101E" w:rsidRDefault="00A66DF7" w:rsidP="00B31020">
      <w:pPr>
        <w:pBdr>
          <w:bottom w:val="single" w:sz="4" w:space="1" w:color="auto"/>
        </w:pBdr>
        <w:jc w:val="center"/>
        <w:rPr>
          <w:rFonts w:ascii="Times New Roman" w:hAnsi="Times New Roman" w:cs="Times New Roman"/>
          <w:szCs w:val="22"/>
          <w:u w:val="single"/>
        </w:rPr>
      </w:pPr>
      <w:r w:rsidRPr="002F101E">
        <w:rPr>
          <w:rFonts w:ascii="Times New Roman" w:hAnsi="Times New Roman" w:cs="Times New Roman"/>
          <w:szCs w:val="22"/>
        </w:rPr>
        <w:t xml:space="preserve"> </w:t>
      </w:r>
      <w:r w:rsidR="00B31020" w:rsidRPr="002F101E">
        <w:rPr>
          <w:rFonts w:ascii="Times New Roman" w:hAnsi="Times New Roman" w:cs="Times New Roman"/>
          <w:szCs w:val="22"/>
        </w:rPr>
        <w:t xml:space="preserve">Draft broad outline of the TDS combined tax technical paper for AI based TDS Section </w:t>
      </w:r>
    </w:p>
    <w:p w14:paraId="295881F3" w14:textId="3FB3E8E5" w:rsidR="00B31020" w:rsidRPr="002F101E" w:rsidRDefault="00B31020" w:rsidP="00B31020">
      <w:pPr>
        <w:pStyle w:val="ListParagraph"/>
        <w:ind w:left="0"/>
        <w:jc w:val="center"/>
        <w:rPr>
          <w:rFonts w:ascii="Times New Roman" w:hAnsi="Times New Roman" w:cs="Times New Roman"/>
          <w:szCs w:val="22"/>
        </w:rPr>
      </w:pPr>
      <w:r w:rsidRPr="002F101E">
        <w:rPr>
          <w:rFonts w:ascii="Times New Roman" w:hAnsi="Times New Roman" w:cs="Times New Roman"/>
          <w:szCs w:val="22"/>
        </w:rPr>
        <w:t>TDS Section – 194</w:t>
      </w:r>
      <w:r w:rsidR="00250FA2" w:rsidRPr="002F101E">
        <w:rPr>
          <w:rFonts w:ascii="Times New Roman" w:hAnsi="Times New Roman" w:cs="Times New Roman"/>
          <w:szCs w:val="22"/>
        </w:rPr>
        <w:t>H</w:t>
      </w:r>
    </w:p>
    <w:p w14:paraId="437E047E" w14:textId="77777777" w:rsidR="00B31020" w:rsidRPr="002F101E" w:rsidRDefault="00B31020" w:rsidP="00B31020">
      <w:pPr>
        <w:pStyle w:val="ListParagraph"/>
        <w:rPr>
          <w:rFonts w:ascii="Times New Roman" w:hAnsi="Times New Roman" w:cs="Times New Roman"/>
          <w:szCs w:val="22"/>
        </w:rPr>
      </w:pPr>
    </w:p>
    <w:p w14:paraId="62EF62ED" w14:textId="1EB1431F" w:rsidR="00E34A22" w:rsidRPr="002F101E" w:rsidRDefault="00E34A22" w:rsidP="00B31020">
      <w:pPr>
        <w:pStyle w:val="ListParagraph"/>
        <w:numPr>
          <w:ilvl w:val="0"/>
          <w:numId w:val="1"/>
        </w:numPr>
        <w:rPr>
          <w:rFonts w:ascii="Times New Roman" w:hAnsi="Times New Roman" w:cs="Times New Roman"/>
          <w:b/>
          <w:bCs/>
          <w:szCs w:val="22"/>
          <w:u w:val="single"/>
        </w:rPr>
      </w:pPr>
      <w:r w:rsidRPr="002F101E">
        <w:rPr>
          <w:rFonts w:ascii="Times New Roman" w:hAnsi="Times New Roman" w:cs="Times New Roman"/>
          <w:b/>
          <w:bCs/>
          <w:szCs w:val="22"/>
          <w:u w:val="single"/>
        </w:rPr>
        <w:t>Applicability</w:t>
      </w:r>
    </w:p>
    <w:p w14:paraId="1168BC41" w14:textId="2933E392" w:rsidR="00E34A22" w:rsidRPr="002F101E" w:rsidRDefault="00E34A22" w:rsidP="00E34A22">
      <w:pPr>
        <w:pStyle w:val="ListParagraph"/>
        <w:rPr>
          <w:rFonts w:ascii="Times New Roman" w:hAnsi="Times New Roman" w:cs="Times New Roman"/>
          <w:szCs w:val="22"/>
        </w:rPr>
      </w:pPr>
    </w:p>
    <w:p w14:paraId="2F114A76" w14:textId="77777777" w:rsidR="007634ED" w:rsidRPr="002F101E" w:rsidRDefault="007634ED" w:rsidP="007634ED">
      <w:pPr>
        <w:pStyle w:val="ListParagraph"/>
        <w:rPr>
          <w:rFonts w:ascii="Times New Roman" w:hAnsi="Times New Roman" w:cs="Times New Roman"/>
          <w:szCs w:val="22"/>
        </w:rPr>
      </w:pPr>
      <w:r w:rsidRPr="002F101E">
        <w:rPr>
          <w:rFonts w:ascii="Times New Roman" w:hAnsi="Times New Roman" w:cs="Times New Roman"/>
          <w:szCs w:val="22"/>
        </w:rPr>
        <w:t>Section 194H of the Income Tax Act, 1961, deals with the deduction of Tax Deducted at Source (TDS) on income earned as commission or brokerage.</w:t>
      </w:r>
    </w:p>
    <w:p w14:paraId="69F826B1" w14:textId="77777777" w:rsidR="007634ED" w:rsidRPr="002F101E" w:rsidRDefault="007634ED" w:rsidP="007634ED">
      <w:pPr>
        <w:pStyle w:val="ListParagraph"/>
        <w:rPr>
          <w:rFonts w:ascii="Times New Roman" w:hAnsi="Times New Roman" w:cs="Times New Roman"/>
          <w:szCs w:val="22"/>
        </w:rPr>
      </w:pPr>
    </w:p>
    <w:p w14:paraId="6E887415" w14:textId="2C3C6CCC" w:rsidR="00DE4BF0" w:rsidRPr="002F101E" w:rsidRDefault="00E34A22" w:rsidP="009C5823">
      <w:pPr>
        <w:pStyle w:val="ListParagraph"/>
        <w:rPr>
          <w:rFonts w:ascii="Times New Roman" w:hAnsi="Times New Roman" w:cs="Times New Roman"/>
          <w:szCs w:val="22"/>
        </w:rPr>
      </w:pPr>
      <w:r w:rsidRPr="002F101E">
        <w:rPr>
          <w:rFonts w:ascii="Times New Roman" w:hAnsi="Times New Roman" w:cs="Times New Roman"/>
          <w:szCs w:val="22"/>
        </w:rPr>
        <w:t>Any Person other than an individual or Hindu undivided family</w:t>
      </w:r>
      <w:r w:rsidR="00DF2246" w:rsidRPr="002F101E">
        <w:rPr>
          <w:rFonts w:ascii="Times New Roman" w:hAnsi="Times New Roman" w:cs="Times New Roman"/>
          <w:szCs w:val="22"/>
        </w:rPr>
        <w:t xml:space="preserve"> is required to deduct tax us 194H</w:t>
      </w:r>
      <w:r w:rsidR="00A22568" w:rsidRPr="002F101E">
        <w:rPr>
          <w:rFonts w:ascii="Times New Roman" w:hAnsi="Times New Roman" w:cs="Times New Roman"/>
          <w:szCs w:val="22"/>
        </w:rPr>
        <w:t xml:space="preserve">. </w:t>
      </w:r>
      <w:r w:rsidR="009C5823" w:rsidRPr="002F101E">
        <w:rPr>
          <w:rFonts w:ascii="Times New Roman" w:hAnsi="Times New Roman" w:cs="Times New Roman"/>
          <w:szCs w:val="22"/>
        </w:rPr>
        <w:t>I</w:t>
      </w:r>
      <w:r w:rsidR="00BC68D5" w:rsidRPr="002F101E">
        <w:rPr>
          <w:rFonts w:ascii="Times New Roman" w:hAnsi="Times New Roman" w:cs="Times New Roman"/>
          <w:szCs w:val="22"/>
        </w:rPr>
        <w:t xml:space="preserve">ndividual or Hindu undivided family </w:t>
      </w:r>
      <w:r w:rsidR="003E23D3" w:rsidRPr="002F101E">
        <w:rPr>
          <w:rFonts w:ascii="Times New Roman" w:hAnsi="Times New Roman" w:cs="Times New Roman"/>
          <w:szCs w:val="22"/>
        </w:rPr>
        <w:t xml:space="preserve">will be </w:t>
      </w:r>
      <w:r w:rsidR="00633A4F" w:rsidRPr="002F101E">
        <w:rPr>
          <w:rFonts w:ascii="Times New Roman" w:hAnsi="Times New Roman" w:cs="Times New Roman"/>
          <w:szCs w:val="22"/>
        </w:rPr>
        <w:t>required to deduct</w:t>
      </w:r>
      <w:r w:rsidR="009C5823" w:rsidRPr="002F101E">
        <w:rPr>
          <w:rFonts w:ascii="Times New Roman" w:hAnsi="Times New Roman" w:cs="Times New Roman"/>
          <w:szCs w:val="22"/>
        </w:rPr>
        <w:t xml:space="preserve"> i</w:t>
      </w:r>
      <w:r w:rsidR="00BC68D5" w:rsidRPr="002F101E">
        <w:rPr>
          <w:rFonts w:ascii="Times New Roman" w:hAnsi="Times New Roman" w:cs="Times New Roman"/>
          <w:szCs w:val="22"/>
        </w:rPr>
        <w:t xml:space="preserve">f total Sales/gross receipts/turnover from business exceeds 1 crore </w:t>
      </w:r>
      <w:r w:rsidR="00DE4BF0" w:rsidRPr="002F101E">
        <w:rPr>
          <w:rFonts w:ascii="Times New Roman" w:hAnsi="Times New Roman" w:cs="Times New Roman"/>
          <w:szCs w:val="22"/>
        </w:rPr>
        <w:t>R</w:t>
      </w:r>
      <w:r w:rsidR="00BC68D5" w:rsidRPr="002F101E">
        <w:rPr>
          <w:rFonts w:ascii="Times New Roman" w:hAnsi="Times New Roman" w:cs="Times New Roman"/>
          <w:szCs w:val="22"/>
        </w:rPr>
        <w:t>upees</w:t>
      </w:r>
      <w:r w:rsidR="00A22568" w:rsidRPr="002F101E">
        <w:rPr>
          <w:rFonts w:ascii="Times New Roman" w:hAnsi="Times New Roman" w:cs="Times New Roman"/>
          <w:szCs w:val="22"/>
        </w:rPr>
        <w:t xml:space="preserve"> </w:t>
      </w:r>
      <w:r w:rsidR="0024716D" w:rsidRPr="002F101E">
        <w:rPr>
          <w:rFonts w:ascii="Times New Roman" w:hAnsi="Times New Roman" w:cs="Times New Roman"/>
          <w:szCs w:val="22"/>
        </w:rPr>
        <w:t>or i</w:t>
      </w:r>
      <w:r w:rsidR="00DE4BF0" w:rsidRPr="002F101E">
        <w:rPr>
          <w:rFonts w:ascii="Times New Roman" w:hAnsi="Times New Roman" w:cs="Times New Roman"/>
          <w:szCs w:val="22"/>
        </w:rPr>
        <w:t>f total gross receipts from profession exceeds 50</w:t>
      </w:r>
      <w:r w:rsidR="00A23B58" w:rsidRPr="002F101E">
        <w:rPr>
          <w:rFonts w:ascii="Times New Roman" w:hAnsi="Times New Roman" w:cs="Times New Roman"/>
          <w:szCs w:val="22"/>
        </w:rPr>
        <w:t xml:space="preserve"> l</w:t>
      </w:r>
      <w:r w:rsidR="00DE4BF0" w:rsidRPr="002F101E">
        <w:rPr>
          <w:rFonts w:ascii="Times New Roman" w:hAnsi="Times New Roman" w:cs="Times New Roman"/>
          <w:szCs w:val="22"/>
        </w:rPr>
        <w:t>akh Rupees</w:t>
      </w:r>
      <w:r w:rsidR="00A23B58" w:rsidRPr="002F101E">
        <w:rPr>
          <w:rFonts w:ascii="Times New Roman" w:hAnsi="Times New Roman" w:cs="Times New Roman"/>
          <w:szCs w:val="22"/>
        </w:rPr>
        <w:t>.</w:t>
      </w:r>
    </w:p>
    <w:p w14:paraId="649B2E08" w14:textId="77777777" w:rsidR="0024716D" w:rsidRPr="002F101E" w:rsidRDefault="0024716D" w:rsidP="00A22568">
      <w:pPr>
        <w:pStyle w:val="ListParagraph"/>
        <w:rPr>
          <w:rFonts w:ascii="Times New Roman" w:hAnsi="Times New Roman" w:cs="Times New Roman"/>
          <w:szCs w:val="22"/>
        </w:rPr>
      </w:pPr>
    </w:p>
    <w:p w14:paraId="59699BCF" w14:textId="2EC60C4E" w:rsidR="008F73CA" w:rsidRPr="002F101E" w:rsidRDefault="008F73CA" w:rsidP="008F73CA">
      <w:pPr>
        <w:pStyle w:val="ListParagraph"/>
        <w:numPr>
          <w:ilvl w:val="0"/>
          <w:numId w:val="1"/>
        </w:numPr>
        <w:rPr>
          <w:rFonts w:ascii="Times New Roman" w:hAnsi="Times New Roman" w:cs="Times New Roman"/>
          <w:b/>
          <w:bCs/>
          <w:szCs w:val="22"/>
          <w:u w:val="single"/>
        </w:rPr>
      </w:pPr>
      <w:r w:rsidRPr="002F101E">
        <w:rPr>
          <w:rFonts w:ascii="Times New Roman" w:hAnsi="Times New Roman" w:cs="Times New Roman"/>
          <w:b/>
          <w:bCs/>
          <w:szCs w:val="22"/>
          <w:u w:val="single"/>
        </w:rPr>
        <w:t>Commission or brokerage</w:t>
      </w:r>
    </w:p>
    <w:p w14:paraId="438B43FE" w14:textId="77777777" w:rsidR="008F73CA" w:rsidRPr="002F101E" w:rsidRDefault="008F73CA" w:rsidP="008F73CA">
      <w:pPr>
        <w:pStyle w:val="ListParagraph"/>
        <w:rPr>
          <w:rFonts w:ascii="Times New Roman" w:hAnsi="Times New Roman" w:cs="Times New Roman"/>
          <w:szCs w:val="22"/>
        </w:rPr>
      </w:pPr>
    </w:p>
    <w:p w14:paraId="0E22D492" w14:textId="7E9C3037" w:rsidR="00180A6D" w:rsidRPr="002F101E" w:rsidRDefault="008F73CA" w:rsidP="00180A6D">
      <w:pPr>
        <w:pStyle w:val="ListParagraph"/>
        <w:numPr>
          <w:ilvl w:val="1"/>
          <w:numId w:val="1"/>
        </w:numPr>
        <w:ind w:left="709" w:hanging="283"/>
        <w:rPr>
          <w:rFonts w:ascii="Times New Roman" w:hAnsi="Times New Roman" w:cs="Times New Roman"/>
          <w:b/>
          <w:bCs/>
          <w:szCs w:val="22"/>
        </w:rPr>
      </w:pPr>
      <w:r w:rsidRPr="002F101E">
        <w:rPr>
          <w:rFonts w:ascii="Times New Roman" w:hAnsi="Times New Roman" w:cs="Times New Roman"/>
          <w:b/>
          <w:bCs/>
          <w:szCs w:val="22"/>
        </w:rPr>
        <w:t xml:space="preserve">Meaning of Commission or brokerage as per </w:t>
      </w:r>
      <w:r w:rsidR="00180A6D" w:rsidRPr="002F101E">
        <w:rPr>
          <w:rFonts w:ascii="Times New Roman" w:hAnsi="Times New Roman" w:cs="Times New Roman"/>
          <w:b/>
          <w:bCs/>
          <w:szCs w:val="22"/>
        </w:rPr>
        <w:t>TDS section 194H</w:t>
      </w:r>
    </w:p>
    <w:p w14:paraId="7EB4A505" w14:textId="77777777" w:rsidR="00180A6D" w:rsidRPr="002F101E" w:rsidRDefault="00180A6D" w:rsidP="00180A6D">
      <w:pPr>
        <w:pStyle w:val="ListParagraph"/>
        <w:ind w:left="709"/>
        <w:rPr>
          <w:rFonts w:ascii="Times New Roman" w:hAnsi="Times New Roman" w:cs="Times New Roman"/>
          <w:szCs w:val="22"/>
        </w:rPr>
      </w:pPr>
    </w:p>
    <w:p w14:paraId="6E009106" w14:textId="77777777" w:rsidR="00E34F2A" w:rsidRPr="002F101E" w:rsidRDefault="00E34F2A" w:rsidP="003838AC">
      <w:pPr>
        <w:pStyle w:val="ListParagraph"/>
        <w:numPr>
          <w:ilvl w:val="0"/>
          <w:numId w:val="3"/>
        </w:numPr>
        <w:ind w:left="851"/>
        <w:rPr>
          <w:rFonts w:ascii="Times New Roman" w:hAnsi="Times New Roman" w:cs="Times New Roman"/>
          <w:szCs w:val="22"/>
        </w:rPr>
      </w:pPr>
      <w:r w:rsidRPr="002F101E">
        <w:rPr>
          <w:rFonts w:ascii="Times New Roman" w:hAnsi="Times New Roman" w:cs="Times New Roman"/>
          <w:szCs w:val="22"/>
        </w:rPr>
        <w:t xml:space="preserve">"Commission or brokerage" refers to any payment, whether direct or indirect, received by a person acting on behalf of another for </w:t>
      </w:r>
      <w:r w:rsidRPr="002F101E">
        <w:rPr>
          <w:rStyle w:val="Strong"/>
          <w:rFonts w:ascii="Times New Roman" w:hAnsi="Times New Roman" w:cs="Times New Roman"/>
          <w:szCs w:val="22"/>
        </w:rPr>
        <w:t>non-professional services</w:t>
      </w:r>
      <w:r w:rsidRPr="002F101E">
        <w:rPr>
          <w:rFonts w:ascii="Times New Roman" w:hAnsi="Times New Roman" w:cs="Times New Roman"/>
          <w:szCs w:val="22"/>
        </w:rPr>
        <w:t xml:space="preserve">, facilitating the </w:t>
      </w:r>
      <w:r w:rsidRPr="002F101E">
        <w:rPr>
          <w:rStyle w:val="Strong"/>
          <w:rFonts w:ascii="Times New Roman" w:hAnsi="Times New Roman" w:cs="Times New Roman"/>
          <w:szCs w:val="22"/>
        </w:rPr>
        <w:t>buying or selling of goods</w:t>
      </w:r>
      <w:r w:rsidRPr="002F101E">
        <w:rPr>
          <w:rFonts w:ascii="Times New Roman" w:hAnsi="Times New Roman" w:cs="Times New Roman"/>
          <w:szCs w:val="22"/>
        </w:rPr>
        <w:t xml:space="preserve">, or assisting in transactions involving </w:t>
      </w:r>
      <w:r w:rsidRPr="002F101E">
        <w:rPr>
          <w:rStyle w:val="Strong"/>
          <w:rFonts w:ascii="Times New Roman" w:hAnsi="Times New Roman" w:cs="Times New Roman"/>
          <w:szCs w:val="22"/>
        </w:rPr>
        <w:t>assets, valuable articles, or things (excluding securities)</w:t>
      </w:r>
      <w:r w:rsidRPr="002F101E">
        <w:rPr>
          <w:rFonts w:ascii="Times New Roman" w:hAnsi="Times New Roman" w:cs="Times New Roman"/>
          <w:szCs w:val="22"/>
        </w:rPr>
        <w:t>.</w:t>
      </w:r>
    </w:p>
    <w:p w14:paraId="7E1D1ED8" w14:textId="77777777" w:rsidR="00E34F2A" w:rsidRPr="002F101E" w:rsidRDefault="00E34F2A" w:rsidP="00E34F2A">
      <w:pPr>
        <w:pStyle w:val="ListParagraph"/>
        <w:ind w:left="851"/>
        <w:rPr>
          <w:rFonts w:ascii="Times New Roman" w:hAnsi="Times New Roman" w:cs="Times New Roman"/>
          <w:szCs w:val="22"/>
        </w:rPr>
      </w:pPr>
    </w:p>
    <w:p w14:paraId="323DDB08" w14:textId="3D519710" w:rsidR="008E553C" w:rsidRPr="002F101E" w:rsidRDefault="008E553C" w:rsidP="003838AC">
      <w:pPr>
        <w:pStyle w:val="ListParagraph"/>
        <w:numPr>
          <w:ilvl w:val="0"/>
          <w:numId w:val="3"/>
        </w:numPr>
        <w:ind w:left="851"/>
        <w:rPr>
          <w:rFonts w:ascii="Times New Roman" w:hAnsi="Times New Roman" w:cs="Times New Roman"/>
          <w:szCs w:val="22"/>
        </w:rPr>
      </w:pPr>
      <w:r w:rsidRPr="002F101E">
        <w:rPr>
          <w:rFonts w:ascii="Times New Roman" w:hAnsi="Times New Roman" w:cs="Times New Roman"/>
          <w:szCs w:val="22"/>
        </w:rPr>
        <w:t>T</w:t>
      </w:r>
      <w:r w:rsidR="008F73CA" w:rsidRPr="002F101E">
        <w:rPr>
          <w:rFonts w:ascii="Times New Roman" w:hAnsi="Times New Roman" w:cs="Times New Roman"/>
          <w:szCs w:val="22"/>
        </w:rPr>
        <w:t xml:space="preserve">he expression "professional services" means services rendered by a person in the course of carrying on a legal, medical, engineering or architectural profession or the profession of accountancy or technical consultancy or interior decoration or such other profession as is notified by the Board for the purposes of section </w:t>
      </w:r>
      <w:proofErr w:type="gramStart"/>
      <w:r w:rsidR="008F73CA" w:rsidRPr="002F101E">
        <w:rPr>
          <w:rFonts w:ascii="Times New Roman" w:hAnsi="Times New Roman" w:cs="Times New Roman"/>
          <w:szCs w:val="22"/>
        </w:rPr>
        <w:t>44AA;</w:t>
      </w:r>
      <w:proofErr w:type="gramEnd"/>
    </w:p>
    <w:p w14:paraId="4049B818" w14:textId="77777777" w:rsidR="00887A68" w:rsidRPr="002F101E" w:rsidRDefault="00887A68" w:rsidP="00887A68">
      <w:pPr>
        <w:pStyle w:val="ListParagraph"/>
        <w:ind w:left="851"/>
        <w:rPr>
          <w:rFonts w:ascii="Times New Roman" w:hAnsi="Times New Roman" w:cs="Times New Roman"/>
          <w:szCs w:val="22"/>
        </w:rPr>
      </w:pPr>
    </w:p>
    <w:p w14:paraId="44178AF9" w14:textId="77777777" w:rsidR="007117EE" w:rsidRPr="002F101E" w:rsidRDefault="008E553C" w:rsidP="003838AC">
      <w:pPr>
        <w:pStyle w:val="ListParagraph"/>
        <w:numPr>
          <w:ilvl w:val="0"/>
          <w:numId w:val="3"/>
        </w:numPr>
        <w:ind w:left="851"/>
        <w:rPr>
          <w:rFonts w:ascii="Times New Roman" w:hAnsi="Times New Roman" w:cs="Times New Roman"/>
          <w:szCs w:val="22"/>
        </w:rPr>
      </w:pPr>
      <w:r w:rsidRPr="002F101E">
        <w:rPr>
          <w:rFonts w:ascii="Times New Roman" w:hAnsi="Times New Roman" w:cs="Times New Roman"/>
          <w:szCs w:val="22"/>
        </w:rPr>
        <w:t>T</w:t>
      </w:r>
      <w:r w:rsidR="008F73CA" w:rsidRPr="002F101E">
        <w:rPr>
          <w:rFonts w:ascii="Times New Roman" w:hAnsi="Times New Roman" w:cs="Times New Roman"/>
          <w:szCs w:val="22"/>
        </w:rPr>
        <w:t xml:space="preserve">he expression "securities" </w:t>
      </w:r>
      <w:r w:rsidR="00D7015F" w:rsidRPr="002F101E">
        <w:rPr>
          <w:rFonts w:ascii="Times New Roman" w:hAnsi="Times New Roman" w:cs="Times New Roman"/>
          <w:szCs w:val="22"/>
        </w:rPr>
        <w:t xml:space="preserve">mentioned above </w:t>
      </w:r>
      <w:r w:rsidR="008F73CA" w:rsidRPr="002F101E">
        <w:rPr>
          <w:rFonts w:ascii="Times New Roman" w:hAnsi="Times New Roman" w:cs="Times New Roman"/>
          <w:szCs w:val="22"/>
        </w:rPr>
        <w:t>shall have the meaning assigned to it in clause (h) of section 2 of the Securities Contracts (Regulation) Act, 1956 (42 of 1956)</w:t>
      </w:r>
      <w:r w:rsidR="003A471C" w:rsidRPr="002F101E">
        <w:rPr>
          <w:rFonts w:ascii="Times New Roman" w:hAnsi="Times New Roman" w:cs="Times New Roman"/>
          <w:szCs w:val="22"/>
        </w:rPr>
        <w:t xml:space="preserve">. </w:t>
      </w:r>
      <w:r w:rsidR="00966A8A" w:rsidRPr="002F101E">
        <w:rPr>
          <w:rFonts w:ascii="Times New Roman" w:hAnsi="Times New Roman" w:cs="Times New Roman"/>
          <w:szCs w:val="22"/>
        </w:rPr>
        <w:t xml:space="preserve">Definition of Securities reproduced </w:t>
      </w:r>
      <w:r w:rsidR="00C079E1" w:rsidRPr="002F101E">
        <w:rPr>
          <w:rFonts w:ascii="Times New Roman" w:hAnsi="Times New Roman" w:cs="Times New Roman"/>
          <w:szCs w:val="22"/>
        </w:rPr>
        <w:t>below:</w:t>
      </w:r>
    </w:p>
    <w:p w14:paraId="67676670" w14:textId="77777777" w:rsidR="007117EE" w:rsidRPr="002F101E" w:rsidRDefault="007117EE" w:rsidP="007117EE">
      <w:pPr>
        <w:pStyle w:val="ListParagraph"/>
        <w:ind w:left="851"/>
        <w:rPr>
          <w:rFonts w:ascii="Times New Roman" w:hAnsi="Times New Roman" w:cs="Times New Roman"/>
          <w:szCs w:val="22"/>
        </w:rPr>
      </w:pPr>
    </w:p>
    <w:p w14:paraId="0229D008" w14:textId="1247CBF0" w:rsidR="00C079E1" w:rsidRPr="002F101E" w:rsidRDefault="00C079E1" w:rsidP="007117EE">
      <w:pPr>
        <w:pStyle w:val="ListParagraph"/>
        <w:ind w:left="851"/>
        <w:rPr>
          <w:rFonts w:ascii="Times New Roman" w:hAnsi="Times New Roman" w:cs="Times New Roman"/>
          <w:szCs w:val="22"/>
        </w:rPr>
      </w:pPr>
      <w:r w:rsidRPr="002F101E">
        <w:rPr>
          <w:rFonts w:ascii="Times New Roman" w:hAnsi="Times New Roman" w:cs="Times New Roman"/>
          <w:szCs w:val="22"/>
        </w:rPr>
        <w:t>Securities include</w:t>
      </w:r>
      <w:r w:rsidR="007117EE" w:rsidRPr="002F101E">
        <w:rPr>
          <w:rFonts w:ascii="Times New Roman" w:hAnsi="Times New Roman" w:cs="Times New Roman"/>
          <w:szCs w:val="22"/>
        </w:rPr>
        <w:t>:</w:t>
      </w:r>
    </w:p>
    <w:p w14:paraId="310A8192" w14:textId="77777777" w:rsidR="007117EE" w:rsidRPr="002F101E" w:rsidRDefault="007117EE" w:rsidP="007117EE">
      <w:pPr>
        <w:pStyle w:val="ListParagraph"/>
        <w:ind w:left="851"/>
        <w:rPr>
          <w:rFonts w:ascii="Times New Roman" w:hAnsi="Times New Roman" w:cs="Times New Roman"/>
          <w:szCs w:val="22"/>
        </w:rPr>
      </w:pPr>
    </w:p>
    <w:p w14:paraId="42682B7D" w14:textId="78777E68" w:rsidR="00C079E1" w:rsidRPr="002F101E" w:rsidRDefault="00C079E1" w:rsidP="003838AC">
      <w:pPr>
        <w:pStyle w:val="ListParagraph"/>
        <w:numPr>
          <w:ilvl w:val="0"/>
          <w:numId w:val="4"/>
        </w:numPr>
        <w:ind w:left="1276" w:hanging="425"/>
        <w:rPr>
          <w:rFonts w:ascii="Times New Roman" w:hAnsi="Times New Roman" w:cs="Times New Roman"/>
          <w:szCs w:val="22"/>
        </w:rPr>
      </w:pPr>
      <w:r w:rsidRPr="002F101E">
        <w:rPr>
          <w:rFonts w:ascii="Times New Roman" w:hAnsi="Times New Roman" w:cs="Times New Roman"/>
          <w:szCs w:val="22"/>
        </w:rPr>
        <w:t xml:space="preserve">shares, scrips, stocks, bonds, debentures, debenture stock or other marketable securities of a like nature in or of any incorporated company or other body </w:t>
      </w:r>
      <w:proofErr w:type="gramStart"/>
      <w:r w:rsidRPr="002F101E">
        <w:rPr>
          <w:rFonts w:ascii="Times New Roman" w:hAnsi="Times New Roman" w:cs="Times New Roman"/>
          <w:szCs w:val="22"/>
        </w:rPr>
        <w:t>corporate;</w:t>
      </w:r>
      <w:proofErr w:type="gramEnd"/>
    </w:p>
    <w:p w14:paraId="471682D6" w14:textId="7AE1787B" w:rsidR="00C079E1" w:rsidRPr="002F101E" w:rsidRDefault="00C079E1" w:rsidP="00C079E1">
      <w:pPr>
        <w:pStyle w:val="ListParagraph"/>
        <w:ind w:left="851"/>
        <w:rPr>
          <w:rFonts w:ascii="Times New Roman" w:hAnsi="Times New Roman" w:cs="Times New Roman"/>
          <w:szCs w:val="22"/>
        </w:rPr>
      </w:pPr>
      <w:r w:rsidRPr="002F101E">
        <w:rPr>
          <w:rFonts w:ascii="Times New Roman" w:hAnsi="Times New Roman" w:cs="Times New Roman"/>
          <w:szCs w:val="22"/>
        </w:rPr>
        <w:t>(</w:t>
      </w:r>
      <w:proofErr w:type="spellStart"/>
      <w:r w:rsidRPr="002F101E">
        <w:rPr>
          <w:rFonts w:ascii="Times New Roman" w:hAnsi="Times New Roman" w:cs="Times New Roman"/>
          <w:szCs w:val="22"/>
        </w:rPr>
        <w:t>ia</w:t>
      </w:r>
      <w:proofErr w:type="spellEnd"/>
      <w:r w:rsidRPr="002F101E">
        <w:rPr>
          <w:rFonts w:ascii="Times New Roman" w:hAnsi="Times New Roman" w:cs="Times New Roman"/>
          <w:szCs w:val="22"/>
        </w:rPr>
        <w:t xml:space="preserve">) </w:t>
      </w:r>
      <w:proofErr w:type="gramStart"/>
      <w:r w:rsidRPr="002F101E">
        <w:rPr>
          <w:rFonts w:ascii="Times New Roman" w:hAnsi="Times New Roman" w:cs="Times New Roman"/>
          <w:szCs w:val="22"/>
        </w:rPr>
        <w:t>derivative;</w:t>
      </w:r>
      <w:proofErr w:type="gramEnd"/>
    </w:p>
    <w:p w14:paraId="0FBDB0AB" w14:textId="2B03DBDF" w:rsidR="00C079E1" w:rsidRPr="002F101E" w:rsidRDefault="00C079E1" w:rsidP="00C079E1">
      <w:pPr>
        <w:pStyle w:val="ListParagraph"/>
        <w:ind w:left="851"/>
        <w:rPr>
          <w:rFonts w:ascii="Times New Roman" w:hAnsi="Times New Roman" w:cs="Times New Roman"/>
          <w:szCs w:val="22"/>
        </w:rPr>
      </w:pPr>
      <w:r w:rsidRPr="002F101E">
        <w:rPr>
          <w:rFonts w:ascii="Times New Roman" w:hAnsi="Times New Roman" w:cs="Times New Roman"/>
          <w:szCs w:val="22"/>
        </w:rPr>
        <w:t>(</w:t>
      </w:r>
      <w:proofErr w:type="spellStart"/>
      <w:r w:rsidRPr="002F101E">
        <w:rPr>
          <w:rFonts w:ascii="Times New Roman" w:hAnsi="Times New Roman" w:cs="Times New Roman"/>
          <w:szCs w:val="22"/>
        </w:rPr>
        <w:t>ib</w:t>
      </w:r>
      <w:proofErr w:type="spellEnd"/>
      <w:r w:rsidRPr="002F101E">
        <w:rPr>
          <w:rFonts w:ascii="Times New Roman" w:hAnsi="Times New Roman" w:cs="Times New Roman"/>
          <w:szCs w:val="22"/>
        </w:rPr>
        <w:t xml:space="preserve">) units or any other instrument issued by any collective investment scheme to the investors in such </w:t>
      </w:r>
      <w:proofErr w:type="gramStart"/>
      <w:r w:rsidRPr="002F101E">
        <w:rPr>
          <w:rFonts w:ascii="Times New Roman" w:hAnsi="Times New Roman" w:cs="Times New Roman"/>
          <w:szCs w:val="22"/>
        </w:rPr>
        <w:t>schemes;</w:t>
      </w:r>
      <w:proofErr w:type="gramEnd"/>
    </w:p>
    <w:p w14:paraId="61F8B6F5" w14:textId="402179E0" w:rsidR="00C079E1" w:rsidRPr="002F101E" w:rsidRDefault="00C079E1" w:rsidP="00C079E1">
      <w:pPr>
        <w:pStyle w:val="ListParagraph"/>
        <w:ind w:left="851"/>
        <w:rPr>
          <w:rFonts w:ascii="Times New Roman" w:hAnsi="Times New Roman" w:cs="Times New Roman"/>
          <w:szCs w:val="22"/>
        </w:rPr>
      </w:pPr>
      <w:r w:rsidRPr="002F101E">
        <w:rPr>
          <w:rFonts w:ascii="Times New Roman" w:hAnsi="Times New Roman" w:cs="Times New Roman"/>
          <w:szCs w:val="22"/>
        </w:rPr>
        <w:lastRenderedPageBreak/>
        <w:t>(</w:t>
      </w:r>
      <w:proofErr w:type="spellStart"/>
      <w:r w:rsidRPr="002F101E">
        <w:rPr>
          <w:rFonts w:ascii="Times New Roman" w:hAnsi="Times New Roman" w:cs="Times New Roman"/>
          <w:szCs w:val="22"/>
        </w:rPr>
        <w:t>ic</w:t>
      </w:r>
      <w:proofErr w:type="spellEnd"/>
      <w:r w:rsidRPr="002F101E">
        <w:rPr>
          <w:rFonts w:ascii="Times New Roman" w:hAnsi="Times New Roman" w:cs="Times New Roman"/>
          <w:szCs w:val="22"/>
        </w:rPr>
        <w:t>) security receipt as defined in clause (</w:t>
      </w:r>
      <w:proofErr w:type="spellStart"/>
      <w:r w:rsidRPr="002F101E">
        <w:rPr>
          <w:rFonts w:ascii="Times New Roman" w:hAnsi="Times New Roman" w:cs="Times New Roman"/>
          <w:szCs w:val="22"/>
        </w:rPr>
        <w:t>zg</w:t>
      </w:r>
      <w:proofErr w:type="spellEnd"/>
      <w:r w:rsidRPr="002F101E">
        <w:rPr>
          <w:rFonts w:ascii="Times New Roman" w:hAnsi="Times New Roman" w:cs="Times New Roman"/>
          <w:szCs w:val="22"/>
        </w:rPr>
        <w:t xml:space="preserve">) of section 2 of the Securitisation and Reconstruction of Financial Assets and Enforcement of Security Interest Act, </w:t>
      </w:r>
      <w:proofErr w:type="gramStart"/>
      <w:r w:rsidRPr="002F101E">
        <w:rPr>
          <w:rFonts w:ascii="Times New Roman" w:hAnsi="Times New Roman" w:cs="Times New Roman"/>
          <w:szCs w:val="22"/>
        </w:rPr>
        <w:t>2002;</w:t>
      </w:r>
      <w:proofErr w:type="gramEnd"/>
    </w:p>
    <w:p w14:paraId="2C27E6A9" w14:textId="15D7C36D" w:rsidR="00C079E1" w:rsidRPr="002F101E" w:rsidRDefault="00C079E1" w:rsidP="00C079E1">
      <w:pPr>
        <w:pStyle w:val="ListParagraph"/>
        <w:ind w:left="851"/>
        <w:rPr>
          <w:rFonts w:ascii="Times New Roman" w:hAnsi="Times New Roman" w:cs="Times New Roman"/>
          <w:szCs w:val="22"/>
        </w:rPr>
      </w:pPr>
      <w:r w:rsidRPr="002F101E">
        <w:rPr>
          <w:rFonts w:ascii="Times New Roman" w:hAnsi="Times New Roman" w:cs="Times New Roman"/>
          <w:szCs w:val="22"/>
        </w:rPr>
        <w:t xml:space="preserve">(id) units or any other such instrument issued to the investors under any mutual fund </w:t>
      </w:r>
      <w:proofErr w:type="gramStart"/>
      <w:r w:rsidRPr="002F101E">
        <w:rPr>
          <w:rFonts w:ascii="Times New Roman" w:hAnsi="Times New Roman" w:cs="Times New Roman"/>
          <w:szCs w:val="22"/>
        </w:rPr>
        <w:t>scheme;</w:t>
      </w:r>
      <w:proofErr w:type="gramEnd"/>
    </w:p>
    <w:p w14:paraId="31E0EF9E" w14:textId="77777777" w:rsidR="00C079E1" w:rsidRPr="002F101E" w:rsidRDefault="00C079E1" w:rsidP="00C079E1">
      <w:pPr>
        <w:pStyle w:val="ListParagraph"/>
        <w:ind w:left="851"/>
        <w:rPr>
          <w:rFonts w:ascii="Times New Roman" w:hAnsi="Times New Roman" w:cs="Times New Roman"/>
          <w:szCs w:val="22"/>
        </w:rPr>
      </w:pPr>
    </w:p>
    <w:p w14:paraId="519DC0D6" w14:textId="1E8BEAED" w:rsidR="007117EE" w:rsidRPr="002F101E" w:rsidRDefault="00C079E1" w:rsidP="007117EE">
      <w:pPr>
        <w:pStyle w:val="ListParagraph"/>
        <w:ind w:left="851"/>
        <w:rPr>
          <w:rFonts w:ascii="Times New Roman" w:hAnsi="Times New Roman" w:cs="Times New Roman"/>
          <w:szCs w:val="22"/>
        </w:rPr>
      </w:pPr>
      <w:r w:rsidRPr="002F101E">
        <w:rPr>
          <w:rFonts w:ascii="Times New Roman" w:hAnsi="Times New Roman" w:cs="Times New Roman"/>
          <w:szCs w:val="22"/>
        </w:rPr>
        <w:t>Explanation</w:t>
      </w:r>
      <w:r w:rsidR="00E44EF7" w:rsidRPr="002F101E">
        <w:rPr>
          <w:rFonts w:ascii="Times New Roman" w:hAnsi="Times New Roman" w:cs="Times New Roman"/>
          <w:szCs w:val="22"/>
        </w:rPr>
        <w:t>,</w:t>
      </w:r>
    </w:p>
    <w:p w14:paraId="77163202" w14:textId="22ADD6DA" w:rsidR="00D7015F" w:rsidRPr="002F101E" w:rsidRDefault="00C079E1" w:rsidP="00C079E1">
      <w:pPr>
        <w:pStyle w:val="ListParagraph"/>
        <w:ind w:left="851"/>
        <w:rPr>
          <w:rFonts w:ascii="Times New Roman" w:hAnsi="Times New Roman" w:cs="Times New Roman"/>
          <w:szCs w:val="22"/>
        </w:rPr>
      </w:pPr>
      <w:r w:rsidRPr="002F101E">
        <w:rPr>
          <w:rFonts w:ascii="Times New Roman" w:hAnsi="Times New Roman" w:cs="Times New Roman"/>
          <w:szCs w:val="22"/>
        </w:rPr>
        <w:t>For the removal of doubts, it is hereby declared that "securities" shall not include any unit linked insurance policy or scrips or any such instrument or unit, by whatever name called, which provides a combined benefit risk on the life of the persons and investment by such persons and issued by an insurer referred to in clause (9) of section 2 of the Insurance Act, 1938 (4 of 1938);</w:t>
      </w:r>
    </w:p>
    <w:p w14:paraId="753563ED" w14:textId="77777777" w:rsidR="00F10662" w:rsidRPr="002F101E" w:rsidRDefault="00F10662" w:rsidP="00F10662">
      <w:pPr>
        <w:pStyle w:val="ListParagraph"/>
        <w:ind w:left="1440"/>
        <w:rPr>
          <w:rFonts w:ascii="Times New Roman" w:hAnsi="Times New Roman" w:cs="Times New Roman"/>
          <w:szCs w:val="22"/>
          <w:u w:val="single"/>
        </w:rPr>
      </w:pPr>
    </w:p>
    <w:p w14:paraId="0DE1ABF9" w14:textId="77777777" w:rsidR="008672FA" w:rsidRPr="002F101E" w:rsidRDefault="00C66441" w:rsidP="008672FA">
      <w:pPr>
        <w:pStyle w:val="ListParagraph"/>
        <w:numPr>
          <w:ilvl w:val="0"/>
          <w:numId w:val="1"/>
        </w:numPr>
        <w:rPr>
          <w:rFonts w:ascii="Times New Roman" w:hAnsi="Times New Roman" w:cs="Times New Roman"/>
          <w:b/>
          <w:bCs/>
          <w:szCs w:val="22"/>
          <w:u w:val="single"/>
        </w:rPr>
      </w:pPr>
      <w:r w:rsidRPr="002F101E">
        <w:rPr>
          <w:rFonts w:ascii="Times New Roman" w:hAnsi="Times New Roman" w:cs="Times New Roman"/>
          <w:b/>
          <w:bCs/>
          <w:szCs w:val="22"/>
          <w:u w:val="single"/>
        </w:rPr>
        <w:t>Rate of Tax</w:t>
      </w:r>
    </w:p>
    <w:p w14:paraId="49832BEF" w14:textId="77777777" w:rsidR="007117EE" w:rsidRPr="002F101E" w:rsidRDefault="007117EE" w:rsidP="007117EE">
      <w:pPr>
        <w:pStyle w:val="ListParagraph"/>
        <w:rPr>
          <w:rFonts w:ascii="Times New Roman" w:hAnsi="Times New Roman" w:cs="Times New Roman"/>
          <w:b/>
          <w:bCs/>
          <w:szCs w:val="22"/>
          <w:u w:val="single"/>
        </w:rPr>
      </w:pPr>
    </w:p>
    <w:p w14:paraId="36D25A3C" w14:textId="77777777" w:rsidR="00055BDD" w:rsidRPr="002F101E" w:rsidRDefault="006C372E" w:rsidP="003838AC">
      <w:pPr>
        <w:pStyle w:val="ListParagraph"/>
        <w:numPr>
          <w:ilvl w:val="0"/>
          <w:numId w:val="5"/>
        </w:numPr>
        <w:ind w:left="709"/>
        <w:rPr>
          <w:rFonts w:ascii="Times New Roman" w:hAnsi="Times New Roman" w:cs="Times New Roman"/>
          <w:szCs w:val="22"/>
        </w:rPr>
      </w:pPr>
      <w:r w:rsidRPr="002F101E">
        <w:rPr>
          <w:rFonts w:ascii="Times New Roman" w:hAnsi="Times New Roman" w:cs="Times New Roman"/>
          <w:b/>
          <w:bCs/>
          <w:szCs w:val="22"/>
        </w:rPr>
        <w:t xml:space="preserve">Payment to Resident- </w:t>
      </w:r>
      <w:r w:rsidR="007117EE" w:rsidRPr="002F101E">
        <w:rPr>
          <w:rFonts w:ascii="Times New Roman" w:hAnsi="Times New Roman" w:cs="Times New Roman"/>
          <w:szCs w:val="22"/>
        </w:rPr>
        <w:t>Applicable Tax rate</w:t>
      </w:r>
      <w:r w:rsidR="00DF02F6" w:rsidRPr="002F101E">
        <w:rPr>
          <w:rFonts w:ascii="Times New Roman" w:hAnsi="Times New Roman" w:cs="Times New Roman"/>
          <w:szCs w:val="22"/>
        </w:rPr>
        <w:t xml:space="preserve"> </w:t>
      </w:r>
      <w:r w:rsidR="00C66441" w:rsidRPr="002F101E">
        <w:rPr>
          <w:rFonts w:ascii="Times New Roman" w:hAnsi="Times New Roman" w:cs="Times New Roman"/>
          <w:szCs w:val="22"/>
        </w:rPr>
        <w:t xml:space="preserve">for </w:t>
      </w:r>
      <w:r w:rsidR="00DF02F6" w:rsidRPr="002F101E">
        <w:rPr>
          <w:rFonts w:ascii="Times New Roman" w:hAnsi="Times New Roman" w:cs="Times New Roman"/>
          <w:szCs w:val="22"/>
        </w:rPr>
        <w:t xml:space="preserve">transaction </w:t>
      </w:r>
      <w:proofErr w:type="spellStart"/>
      <w:r w:rsidR="00DF02F6" w:rsidRPr="002F101E">
        <w:rPr>
          <w:rFonts w:ascii="Times New Roman" w:hAnsi="Times New Roman" w:cs="Times New Roman"/>
          <w:szCs w:val="22"/>
        </w:rPr>
        <w:t>upto</w:t>
      </w:r>
      <w:proofErr w:type="spellEnd"/>
      <w:r w:rsidR="00DF02F6" w:rsidRPr="002F101E">
        <w:rPr>
          <w:rFonts w:ascii="Times New Roman" w:hAnsi="Times New Roman" w:cs="Times New Roman"/>
          <w:szCs w:val="22"/>
        </w:rPr>
        <w:t xml:space="preserve"> </w:t>
      </w:r>
      <w:r w:rsidR="00C66441" w:rsidRPr="002F101E">
        <w:rPr>
          <w:rFonts w:ascii="Times New Roman" w:hAnsi="Times New Roman" w:cs="Times New Roman"/>
          <w:szCs w:val="22"/>
        </w:rPr>
        <w:t>01 Oct 24</w:t>
      </w:r>
      <w:r w:rsidR="007117EE" w:rsidRPr="002F101E">
        <w:rPr>
          <w:rFonts w:ascii="Times New Roman" w:hAnsi="Times New Roman" w:cs="Times New Roman"/>
          <w:szCs w:val="22"/>
        </w:rPr>
        <w:t xml:space="preserve"> is </w:t>
      </w:r>
      <w:r w:rsidRPr="002F101E">
        <w:rPr>
          <w:rFonts w:ascii="Times New Roman" w:hAnsi="Times New Roman" w:cs="Times New Roman"/>
          <w:szCs w:val="22"/>
        </w:rPr>
        <w:t>5</w:t>
      </w:r>
      <w:r w:rsidR="007117EE" w:rsidRPr="002F101E">
        <w:rPr>
          <w:rFonts w:ascii="Times New Roman" w:hAnsi="Times New Roman" w:cs="Times New Roman"/>
          <w:szCs w:val="22"/>
        </w:rPr>
        <w:t>%</w:t>
      </w:r>
      <w:r w:rsidR="00DF02F6" w:rsidRPr="002F101E">
        <w:rPr>
          <w:rFonts w:ascii="Times New Roman" w:hAnsi="Times New Roman" w:cs="Times New Roman"/>
          <w:szCs w:val="22"/>
        </w:rPr>
        <w:t xml:space="preserve">, post </w:t>
      </w:r>
      <w:r w:rsidR="007117EE" w:rsidRPr="002F101E">
        <w:rPr>
          <w:rFonts w:ascii="Times New Roman" w:hAnsi="Times New Roman" w:cs="Times New Roman"/>
          <w:szCs w:val="22"/>
        </w:rPr>
        <w:t xml:space="preserve">01 Oct 24 </w:t>
      </w:r>
      <w:r w:rsidRPr="002F101E">
        <w:rPr>
          <w:rFonts w:ascii="Times New Roman" w:hAnsi="Times New Roman" w:cs="Times New Roman"/>
          <w:szCs w:val="22"/>
        </w:rPr>
        <w:t xml:space="preserve">applicable </w:t>
      </w:r>
      <w:r w:rsidR="00DF02F6" w:rsidRPr="002F101E">
        <w:rPr>
          <w:rFonts w:ascii="Times New Roman" w:hAnsi="Times New Roman" w:cs="Times New Roman"/>
          <w:szCs w:val="22"/>
        </w:rPr>
        <w:t xml:space="preserve">TDS rate </w:t>
      </w:r>
      <w:r w:rsidR="007117EE" w:rsidRPr="002F101E">
        <w:rPr>
          <w:rFonts w:ascii="Times New Roman" w:hAnsi="Times New Roman" w:cs="Times New Roman"/>
          <w:szCs w:val="22"/>
        </w:rPr>
        <w:t xml:space="preserve">is </w:t>
      </w:r>
      <w:r w:rsidRPr="002F101E">
        <w:rPr>
          <w:rFonts w:ascii="Times New Roman" w:hAnsi="Times New Roman" w:cs="Times New Roman"/>
          <w:szCs w:val="22"/>
        </w:rPr>
        <w:t>reduced to 2</w:t>
      </w:r>
      <w:r w:rsidR="007117EE" w:rsidRPr="002F101E">
        <w:rPr>
          <w:rFonts w:ascii="Times New Roman" w:hAnsi="Times New Roman" w:cs="Times New Roman"/>
          <w:szCs w:val="22"/>
        </w:rPr>
        <w:t>%</w:t>
      </w:r>
      <w:r w:rsidR="00DF02F6" w:rsidRPr="002F101E">
        <w:rPr>
          <w:rFonts w:ascii="Times New Roman" w:hAnsi="Times New Roman" w:cs="Times New Roman"/>
          <w:szCs w:val="22"/>
        </w:rPr>
        <w:t>.</w:t>
      </w:r>
    </w:p>
    <w:p w14:paraId="358CC46E" w14:textId="42722A32" w:rsidR="00055BDD" w:rsidRPr="002F101E" w:rsidRDefault="006C372E" w:rsidP="003838AC">
      <w:pPr>
        <w:pStyle w:val="ListParagraph"/>
        <w:numPr>
          <w:ilvl w:val="0"/>
          <w:numId w:val="5"/>
        </w:numPr>
        <w:ind w:left="709"/>
        <w:rPr>
          <w:rFonts w:ascii="Times New Roman" w:hAnsi="Times New Roman" w:cs="Times New Roman"/>
          <w:szCs w:val="22"/>
        </w:rPr>
      </w:pPr>
      <w:r w:rsidRPr="002F101E">
        <w:rPr>
          <w:rFonts w:ascii="Times New Roman" w:hAnsi="Times New Roman" w:cs="Times New Roman"/>
          <w:b/>
          <w:bCs/>
          <w:szCs w:val="22"/>
        </w:rPr>
        <w:t xml:space="preserve">Payment to </w:t>
      </w:r>
      <w:proofErr w:type="gramStart"/>
      <w:r w:rsidRPr="002F101E">
        <w:rPr>
          <w:rFonts w:ascii="Times New Roman" w:hAnsi="Times New Roman" w:cs="Times New Roman"/>
          <w:b/>
          <w:bCs/>
          <w:szCs w:val="22"/>
        </w:rPr>
        <w:t>Non Resident</w:t>
      </w:r>
      <w:proofErr w:type="gramEnd"/>
      <w:r w:rsidRPr="002F101E">
        <w:rPr>
          <w:rFonts w:ascii="Times New Roman" w:hAnsi="Times New Roman" w:cs="Times New Roman"/>
          <w:b/>
          <w:bCs/>
          <w:szCs w:val="22"/>
        </w:rPr>
        <w:t>-</w:t>
      </w:r>
      <w:r w:rsidRPr="002F101E">
        <w:rPr>
          <w:rFonts w:ascii="Times New Roman" w:hAnsi="Times New Roman" w:cs="Times New Roman"/>
          <w:szCs w:val="22"/>
        </w:rPr>
        <w:t xml:space="preserve"> </w:t>
      </w:r>
      <w:r w:rsidR="001C0B1D" w:rsidRPr="002F101E">
        <w:rPr>
          <w:rFonts w:ascii="Times New Roman" w:hAnsi="Times New Roman" w:cs="Times New Roman"/>
          <w:szCs w:val="22"/>
        </w:rPr>
        <w:t>TDS will apply as per section 195</w:t>
      </w:r>
    </w:p>
    <w:p w14:paraId="501260C4" w14:textId="1755678C" w:rsidR="001C0B1D" w:rsidRPr="002F101E" w:rsidRDefault="001C0B1D" w:rsidP="003838AC">
      <w:pPr>
        <w:pStyle w:val="ListParagraph"/>
        <w:numPr>
          <w:ilvl w:val="0"/>
          <w:numId w:val="5"/>
        </w:numPr>
        <w:ind w:left="709"/>
        <w:rPr>
          <w:rFonts w:ascii="Times New Roman" w:hAnsi="Times New Roman" w:cs="Times New Roman"/>
          <w:szCs w:val="22"/>
        </w:rPr>
      </w:pPr>
      <w:r w:rsidRPr="002F101E">
        <w:rPr>
          <w:rFonts w:ascii="Times New Roman" w:hAnsi="Times New Roman" w:cs="Times New Roman"/>
          <w:b/>
          <w:bCs/>
          <w:szCs w:val="22"/>
        </w:rPr>
        <w:t>Payment by Individual/ H</w:t>
      </w:r>
      <w:r w:rsidR="00473566" w:rsidRPr="002F101E">
        <w:rPr>
          <w:rFonts w:ascii="Times New Roman" w:hAnsi="Times New Roman" w:cs="Times New Roman"/>
          <w:b/>
          <w:bCs/>
          <w:szCs w:val="22"/>
        </w:rPr>
        <w:t>UF (</w:t>
      </w:r>
      <w:r w:rsidR="00473566" w:rsidRPr="002F101E">
        <w:rPr>
          <w:rFonts w:ascii="Times New Roman" w:hAnsi="Times New Roman" w:cs="Times New Roman"/>
          <w:szCs w:val="22"/>
        </w:rPr>
        <w:t xml:space="preserve">who are not required to deduct TDS us.194H)- </w:t>
      </w:r>
      <w:r w:rsidR="00E75C2A" w:rsidRPr="002F101E">
        <w:rPr>
          <w:rFonts w:ascii="Times New Roman" w:hAnsi="Times New Roman" w:cs="Times New Roman"/>
          <w:szCs w:val="22"/>
        </w:rPr>
        <w:t>TDS will apply as per section 194N</w:t>
      </w:r>
    </w:p>
    <w:p w14:paraId="2F065E19" w14:textId="5BB0590E" w:rsidR="00C774D4" w:rsidRPr="002F101E" w:rsidRDefault="00C774D4" w:rsidP="00C774D4">
      <w:pPr>
        <w:pStyle w:val="ListParagraph"/>
        <w:numPr>
          <w:ilvl w:val="0"/>
          <w:numId w:val="5"/>
        </w:numPr>
        <w:ind w:left="709"/>
        <w:rPr>
          <w:rFonts w:ascii="Times New Roman" w:hAnsi="Times New Roman" w:cs="Times New Roman"/>
          <w:szCs w:val="22"/>
        </w:rPr>
      </w:pPr>
      <w:r w:rsidRPr="002F101E">
        <w:rPr>
          <w:rFonts w:ascii="Times New Roman" w:hAnsi="Times New Roman" w:cs="Times New Roman"/>
          <w:b/>
          <w:bCs/>
          <w:szCs w:val="22"/>
        </w:rPr>
        <w:t xml:space="preserve">Insurance Commission to Insurance Broker: </w:t>
      </w:r>
      <w:r w:rsidRPr="002F101E">
        <w:rPr>
          <w:rFonts w:ascii="Times New Roman" w:hAnsi="Times New Roman" w:cs="Times New Roman"/>
          <w:szCs w:val="22"/>
        </w:rPr>
        <w:t>TDS will apply as per section 194</w:t>
      </w:r>
      <w:r w:rsidR="00C17D2E" w:rsidRPr="002F101E">
        <w:rPr>
          <w:rFonts w:ascii="Times New Roman" w:hAnsi="Times New Roman" w:cs="Times New Roman"/>
          <w:szCs w:val="22"/>
        </w:rPr>
        <w:t>D</w:t>
      </w:r>
    </w:p>
    <w:p w14:paraId="3C902CBD" w14:textId="77777777" w:rsidR="00C774D4" w:rsidRPr="002F101E" w:rsidRDefault="00C774D4" w:rsidP="00DF02F6">
      <w:pPr>
        <w:pStyle w:val="ListParagraph"/>
        <w:rPr>
          <w:rFonts w:ascii="Times New Roman" w:hAnsi="Times New Roman" w:cs="Times New Roman"/>
          <w:szCs w:val="22"/>
          <w:u w:val="single"/>
        </w:rPr>
      </w:pPr>
    </w:p>
    <w:p w14:paraId="0A23BBD2" w14:textId="77777777" w:rsidR="0019344F" w:rsidRPr="002F101E" w:rsidRDefault="0019344F" w:rsidP="0019344F">
      <w:pPr>
        <w:pStyle w:val="ListParagraph"/>
        <w:numPr>
          <w:ilvl w:val="0"/>
          <w:numId w:val="1"/>
        </w:numPr>
        <w:rPr>
          <w:rFonts w:ascii="Times New Roman" w:hAnsi="Times New Roman" w:cs="Times New Roman"/>
          <w:b/>
          <w:bCs/>
          <w:szCs w:val="22"/>
          <w:u w:val="single"/>
        </w:rPr>
      </w:pPr>
      <w:r w:rsidRPr="002F101E">
        <w:rPr>
          <w:rFonts w:ascii="Times New Roman" w:hAnsi="Times New Roman" w:cs="Times New Roman"/>
          <w:b/>
          <w:bCs/>
          <w:szCs w:val="22"/>
          <w:u w:val="single"/>
        </w:rPr>
        <w:t>Exemption from the section</w:t>
      </w:r>
    </w:p>
    <w:p w14:paraId="2FE57162" w14:textId="77777777" w:rsidR="00D35E07" w:rsidRPr="002F101E" w:rsidRDefault="00D35E07" w:rsidP="00D35E07">
      <w:pPr>
        <w:pStyle w:val="ListParagraph"/>
        <w:ind w:left="1440"/>
        <w:rPr>
          <w:rFonts w:ascii="Times New Roman" w:hAnsi="Times New Roman" w:cs="Times New Roman"/>
          <w:szCs w:val="22"/>
        </w:rPr>
      </w:pPr>
    </w:p>
    <w:p w14:paraId="63AC2EC5" w14:textId="6173BB4D" w:rsidR="0019344F" w:rsidRPr="002F101E" w:rsidRDefault="0019344F" w:rsidP="008672FA">
      <w:pPr>
        <w:pStyle w:val="ListParagraph"/>
        <w:numPr>
          <w:ilvl w:val="1"/>
          <w:numId w:val="1"/>
        </w:numPr>
        <w:ind w:left="709"/>
        <w:rPr>
          <w:rFonts w:ascii="Times New Roman" w:hAnsi="Times New Roman" w:cs="Times New Roman"/>
          <w:szCs w:val="22"/>
        </w:rPr>
      </w:pPr>
      <w:r w:rsidRPr="002F101E">
        <w:rPr>
          <w:rFonts w:ascii="Times New Roman" w:hAnsi="Times New Roman" w:cs="Times New Roman"/>
          <w:szCs w:val="22"/>
        </w:rPr>
        <w:t xml:space="preserve">Any commission/brokerage payable to Bharat Sanchar Nigam Limited or </w:t>
      </w:r>
      <w:proofErr w:type="spellStart"/>
      <w:r w:rsidRPr="002F101E">
        <w:rPr>
          <w:rFonts w:ascii="Times New Roman" w:hAnsi="Times New Roman" w:cs="Times New Roman"/>
          <w:szCs w:val="22"/>
        </w:rPr>
        <w:t>Mahanagar</w:t>
      </w:r>
      <w:proofErr w:type="spellEnd"/>
      <w:r w:rsidRPr="002F101E">
        <w:rPr>
          <w:rFonts w:ascii="Times New Roman" w:hAnsi="Times New Roman" w:cs="Times New Roman"/>
          <w:szCs w:val="22"/>
        </w:rPr>
        <w:t xml:space="preserve"> Telephone Nigam Limited</w:t>
      </w:r>
    </w:p>
    <w:p w14:paraId="1204D893" w14:textId="0881BFFC" w:rsidR="00CB0EE7" w:rsidRPr="002F101E" w:rsidRDefault="00CB0EE7" w:rsidP="008672FA">
      <w:pPr>
        <w:pStyle w:val="ListParagraph"/>
        <w:numPr>
          <w:ilvl w:val="1"/>
          <w:numId w:val="1"/>
        </w:numPr>
        <w:ind w:left="709"/>
        <w:rPr>
          <w:rFonts w:ascii="Times New Roman" w:hAnsi="Times New Roman" w:cs="Times New Roman"/>
          <w:szCs w:val="22"/>
        </w:rPr>
      </w:pPr>
      <w:r w:rsidRPr="002F101E">
        <w:rPr>
          <w:rFonts w:ascii="Times New Roman" w:hAnsi="Times New Roman" w:cs="Times New Roman"/>
          <w:szCs w:val="22"/>
        </w:rPr>
        <w:t>By virtue of Section 196, no tax shall be deducted under this provision from any sum payable to the Govt., RBI, Mutual Fund or any Corporation established under a central Act which is exempt from paying income-tax.</w:t>
      </w:r>
    </w:p>
    <w:p w14:paraId="22BD01AA" w14:textId="103B9279" w:rsidR="00D35E07" w:rsidRPr="002F101E" w:rsidRDefault="00D35E07" w:rsidP="008672FA">
      <w:pPr>
        <w:pStyle w:val="ListParagraph"/>
        <w:numPr>
          <w:ilvl w:val="1"/>
          <w:numId w:val="1"/>
        </w:numPr>
        <w:ind w:left="709"/>
        <w:rPr>
          <w:rFonts w:ascii="Times New Roman" w:hAnsi="Times New Roman" w:cs="Times New Roman"/>
          <w:szCs w:val="22"/>
        </w:rPr>
      </w:pPr>
      <w:r w:rsidRPr="002F101E">
        <w:rPr>
          <w:rFonts w:ascii="Times New Roman" w:hAnsi="Times New Roman" w:cs="Times New Roman"/>
          <w:szCs w:val="22"/>
        </w:rPr>
        <w:t>Insurance commission paid/payable under section 194D of the Act</w:t>
      </w:r>
    </w:p>
    <w:p w14:paraId="54AD2C01" w14:textId="77777777" w:rsidR="0019344F" w:rsidRPr="002F101E" w:rsidRDefault="0019344F" w:rsidP="00B31020">
      <w:pPr>
        <w:pStyle w:val="ListParagraph"/>
        <w:ind w:left="1276"/>
        <w:rPr>
          <w:rFonts w:ascii="Times New Roman" w:hAnsi="Times New Roman" w:cs="Times New Roman"/>
          <w:szCs w:val="22"/>
        </w:rPr>
      </w:pPr>
    </w:p>
    <w:p w14:paraId="3C4F5F0E" w14:textId="6452FA1B" w:rsidR="00495B9E" w:rsidRPr="002F101E" w:rsidRDefault="00495B9E" w:rsidP="00495B9E">
      <w:pPr>
        <w:pStyle w:val="ListParagraph"/>
        <w:numPr>
          <w:ilvl w:val="0"/>
          <w:numId w:val="1"/>
        </w:numPr>
        <w:rPr>
          <w:rFonts w:ascii="Times New Roman" w:hAnsi="Times New Roman" w:cs="Times New Roman"/>
          <w:b/>
          <w:bCs/>
          <w:szCs w:val="22"/>
        </w:rPr>
      </w:pPr>
      <w:r w:rsidRPr="002F101E">
        <w:rPr>
          <w:rFonts w:ascii="Times New Roman" w:hAnsi="Times New Roman" w:cs="Times New Roman"/>
          <w:b/>
          <w:bCs/>
          <w:szCs w:val="22"/>
        </w:rPr>
        <w:t>Important Points</w:t>
      </w:r>
    </w:p>
    <w:p w14:paraId="22B91C09" w14:textId="77777777" w:rsidR="005B2A01" w:rsidRPr="002F101E" w:rsidRDefault="005B2A01" w:rsidP="005B2A01">
      <w:pPr>
        <w:pStyle w:val="ListParagraph"/>
        <w:ind w:left="360"/>
        <w:rPr>
          <w:rFonts w:ascii="Times New Roman" w:hAnsi="Times New Roman" w:cs="Times New Roman"/>
          <w:szCs w:val="22"/>
        </w:rPr>
      </w:pPr>
    </w:p>
    <w:p w14:paraId="6CA8D372" w14:textId="77777777" w:rsidR="00495B9E" w:rsidRPr="002F101E" w:rsidRDefault="00495B9E" w:rsidP="003838AC">
      <w:pPr>
        <w:pStyle w:val="ListParagraph"/>
        <w:numPr>
          <w:ilvl w:val="0"/>
          <w:numId w:val="2"/>
        </w:numPr>
        <w:ind w:left="720"/>
        <w:rPr>
          <w:rFonts w:ascii="Times New Roman" w:hAnsi="Times New Roman" w:cs="Times New Roman"/>
          <w:szCs w:val="22"/>
        </w:rPr>
      </w:pPr>
      <w:r w:rsidRPr="002F101E">
        <w:rPr>
          <w:rFonts w:ascii="Times New Roman" w:hAnsi="Times New Roman" w:cs="Times New Roman"/>
          <w:szCs w:val="22"/>
        </w:rPr>
        <w:t>The word “acting on behalf” used in the explanation bolsters the view that this section is invoked only when there is a</w:t>
      </w:r>
      <w:r w:rsidRPr="002F101E">
        <w:rPr>
          <w:rFonts w:ascii="Times New Roman" w:hAnsi="Times New Roman" w:cs="Times New Roman"/>
          <w:b/>
          <w:bCs/>
          <w:szCs w:val="22"/>
          <w:u w:val="single"/>
        </w:rPr>
        <w:t xml:space="preserve"> principal-agent relation between the transacting parties</w:t>
      </w:r>
      <w:r w:rsidRPr="002F101E">
        <w:rPr>
          <w:rFonts w:ascii="Times New Roman" w:hAnsi="Times New Roman" w:cs="Times New Roman"/>
          <w:szCs w:val="22"/>
        </w:rPr>
        <w:t xml:space="preserve">. This proposition has been upheld by plethora of judgements as well as by the apex court. </w:t>
      </w:r>
    </w:p>
    <w:p w14:paraId="23C4BD5E" w14:textId="77777777" w:rsidR="00495B9E" w:rsidRPr="002F101E" w:rsidRDefault="00495B9E" w:rsidP="005B2A01">
      <w:pPr>
        <w:pStyle w:val="ListParagraph"/>
        <w:rPr>
          <w:rFonts w:ascii="Times New Roman" w:hAnsi="Times New Roman" w:cs="Times New Roman"/>
          <w:szCs w:val="22"/>
        </w:rPr>
      </w:pPr>
    </w:p>
    <w:p w14:paraId="4DA189DA" w14:textId="77777777" w:rsidR="00495B9E" w:rsidRPr="002F101E" w:rsidRDefault="00495B9E" w:rsidP="005B2A01">
      <w:pPr>
        <w:pStyle w:val="ListParagraph"/>
        <w:rPr>
          <w:rFonts w:ascii="Times New Roman" w:hAnsi="Times New Roman" w:cs="Times New Roman"/>
          <w:szCs w:val="22"/>
        </w:rPr>
      </w:pPr>
      <w:r w:rsidRPr="002F101E">
        <w:rPr>
          <w:rFonts w:ascii="Times New Roman" w:hAnsi="Times New Roman" w:cs="Times New Roman"/>
          <w:szCs w:val="22"/>
        </w:rPr>
        <w:t>Although, the term agent is not defined anywhere in the Act but post reading and understanding of these judicial precedents as well as Indian Contract Act, 1872, following factors becomes relevant for examining the agency relationship:</w:t>
      </w:r>
    </w:p>
    <w:p w14:paraId="49324DB5" w14:textId="77777777" w:rsidR="00495B9E" w:rsidRPr="002F101E" w:rsidRDefault="00495B9E" w:rsidP="005B2A01">
      <w:pPr>
        <w:pStyle w:val="ListParagraph"/>
        <w:ind w:left="360"/>
        <w:rPr>
          <w:rFonts w:ascii="Times New Roman" w:hAnsi="Times New Roman" w:cs="Times New Roman"/>
          <w:szCs w:val="22"/>
        </w:rPr>
      </w:pPr>
    </w:p>
    <w:p w14:paraId="29DBE69B" w14:textId="77777777" w:rsidR="00495B9E" w:rsidRPr="002F101E" w:rsidRDefault="00495B9E" w:rsidP="003838AC">
      <w:pPr>
        <w:pStyle w:val="ListParagraph"/>
        <w:numPr>
          <w:ilvl w:val="1"/>
          <w:numId w:val="2"/>
        </w:numPr>
        <w:ind w:left="1440"/>
        <w:rPr>
          <w:rFonts w:ascii="Times New Roman" w:hAnsi="Times New Roman" w:cs="Times New Roman"/>
          <w:szCs w:val="22"/>
        </w:rPr>
      </w:pPr>
      <w:r w:rsidRPr="002F101E">
        <w:rPr>
          <w:rFonts w:ascii="Times New Roman" w:hAnsi="Times New Roman" w:cs="Times New Roman"/>
          <w:szCs w:val="22"/>
        </w:rPr>
        <w:lastRenderedPageBreak/>
        <w:t xml:space="preserve">An agent is employed to make bargains and contracts for compensation; a middleman or negotiator between parties; an agent of a buyer or a seller who buys or sells stocks, bonds, commodities, or services, usually on a commission </w:t>
      </w:r>
      <w:proofErr w:type="gramStart"/>
      <w:r w:rsidRPr="002F101E">
        <w:rPr>
          <w:rFonts w:ascii="Times New Roman" w:hAnsi="Times New Roman" w:cs="Times New Roman"/>
          <w:szCs w:val="22"/>
        </w:rPr>
        <w:t>basis;</w:t>
      </w:r>
      <w:proofErr w:type="gramEnd"/>
    </w:p>
    <w:p w14:paraId="742A9794" w14:textId="77777777" w:rsidR="00495B9E" w:rsidRPr="002F101E" w:rsidRDefault="00495B9E" w:rsidP="005B2A01">
      <w:pPr>
        <w:pStyle w:val="ListParagraph"/>
        <w:ind w:left="1440"/>
        <w:rPr>
          <w:rFonts w:ascii="Times New Roman" w:hAnsi="Times New Roman" w:cs="Times New Roman"/>
          <w:szCs w:val="22"/>
        </w:rPr>
      </w:pPr>
    </w:p>
    <w:p w14:paraId="21060FB7" w14:textId="77777777" w:rsidR="00495B9E" w:rsidRPr="002F101E" w:rsidRDefault="00495B9E" w:rsidP="003838AC">
      <w:pPr>
        <w:pStyle w:val="ListParagraph"/>
        <w:numPr>
          <w:ilvl w:val="1"/>
          <w:numId w:val="2"/>
        </w:numPr>
        <w:ind w:left="1440"/>
        <w:rPr>
          <w:rFonts w:ascii="Times New Roman" w:hAnsi="Times New Roman" w:cs="Times New Roman"/>
          <w:szCs w:val="22"/>
        </w:rPr>
      </w:pPr>
      <w:r w:rsidRPr="002F101E">
        <w:rPr>
          <w:rFonts w:ascii="Times New Roman" w:hAnsi="Times New Roman" w:cs="Times New Roman"/>
          <w:szCs w:val="22"/>
        </w:rPr>
        <w:t xml:space="preserve">The agent makes the principal answerable to third persons whereby the principal can sue third parties directly and renders himself liable to be sued directly by the third </w:t>
      </w:r>
      <w:proofErr w:type="gramStart"/>
      <w:r w:rsidRPr="002F101E">
        <w:rPr>
          <w:rFonts w:ascii="Times New Roman" w:hAnsi="Times New Roman" w:cs="Times New Roman"/>
          <w:szCs w:val="22"/>
        </w:rPr>
        <w:t>parties;</w:t>
      </w:r>
      <w:proofErr w:type="gramEnd"/>
    </w:p>
    <w:p w14:paraId="00959835" w14:textId="77777777" w:rsidR="00495B9E" w:rsidRPr="002F101E" w:rsidRDefault="00495B9E" w:rsidP="005B2A01">
      <w:pPr>
        <w:pStyle w:val="ListParagraph"/>
        <w:ind w:left="1440"/>
        <w:rPr>
          <w:rFonts w:ascii="Times New Roman" w:hAnsi="Times New Roman" w:cs="Times New Roman"/>
          <w:szCs w:val="22"/>
        </w:rPr>
      </w:pPr>
    </w:p>
    <w:p w14:paraId="05FCC9A0" w14:textId="77777777" w:rsidR="00495B9E" w:rsidRPr="002F101E" w:rsidRDefault="00495B9E" w:rsidP="003838AC">
      <w:pPr>
        <w:pStyle w:val="ListParagraph"/>
        <w:numPr>
          <w:ilvl w:val="1"/>
          <w:numId w:val="2"/>
        </w:numPr>
        <w:ind w:left="1440"/>
        <w:rPr>
          <w:rFonts w:ascii="Times New Roman" w:hAnsi="Times New Roman" w:cs="Times New Roman"/>
          <w:szCs w:val="22"/>
        </w:rPr>
      </w:pPr>
      <w:r w:rsidRPr="002F101E">
        <w:rPr>
          <w:rFonts w:ascii="Times New Roman" w:hAnsi="Times New Roman" w:cs="Times New Roman"/>
          <w:szCs w:val="22"/>
        </w:rPr>
        <w:t xml:space="preserve">The person, who purports to enter into a transaction on behalf of the principal, would have the power to create, modify or terminate contractual relationship between his principal, that is, the person whom he represents, and the third </w:t>
      </w:r>
      <w:proofErr w:type="gramStart"/>
      <w:r w:rsidRPr="002F101E">
        <w:rPr>
          <w:rFonts w:ascii="Times New Roman" w:hAnsi="Times New Roman" w:cs="Times New Roman"/>
          <w:szCs w:val="22"/>
        </w:rPr>
        <w:t>parties;</w:t>
      </w:r>
      <w:proofErr w:type="gramEnd"/>
    </w:p>
    <w:p w14:paraId="4DCFC496" w14:textId="77777777" w:rsidR="00495B9E" w:rsidRPr="002F101E" w:rsidRDefault="00495B9E" w:rsidP="005B2A01">
      <w:pPr>
        <w:pStyle w:val="ListParagraph"/>
        <w:ind w:left="360"/>
        <w:rPr>
          <w:rFonts w:ascii="Times New Roman" w:hAnsi="Times New Roman" w:cs="Times New Roman"/>
          <w:szCs w:val="22"/>
        </w:rPr>
      </w:pPr>
    </w:p>
    <w:p w14:paraId="36B57C14" w14:textId="77777777" w:rsidR="00495B9E" w:rsidRPr="002F101E" w:rsidRDefault="00495B9E" w:rsidP="003838AC">
      <w:pPr>
        <w:pStyle w:val="ListParagraph"/>
        <w:numPr>
          <w:ilvl w:val="1"/>
          <w:numId w:val="2"/>
        </w:numPr>
        <w:ind w:left="1440"/>
        <w:rPr>
          <w:rFonts w:ascii="Times New Roman" w:hAnsi="Times New Roman" w:cs="Times New Roman"/>
          <w:szCs w:val="22"/>
        </w:rPr>
      </w:pPr>
      <w:r w:rsidRPr="002F101E">
        <w:rPr>
          <w:rFonts w:ascii="Times New Roman" w:hAnsi="Times New Roman" w:cs="Times New Roman"/>
          <w:szCs w:val="22"/>
        </w:rPr>
        <w:t xml:space="preserve">An agent, though bound by instructions given to him by the principal does not work under the direct control and supervision of the principal. The agent, thus, uses his own discretion to act on behalf of the principal, subject to the limits to his authority prescribed by the </w:t>
      </w:r>
      <w:proofErr w:type="gramStart"/>
      <w:r w:rsidRPr="002F101E">
        <w:rPr>
          <w:rFonts w:ascii="Times New Roman" w:hAnsi="Times New Roman" w:cs="Times New Roman"/>
          <w:szCs w:val="22"/>
        </w:rPr>
        <w:t>principal;</w:t>
      </w:r>
      <w:proofErr w:type="gramEnd"/>
    </w:p>
    <w:p w14:paraId="6B65CDBA" w14:textId="77777777" w:rsidR="00495B9E" w:rsidRPr="002F101E" w:rsidRDefault="00495B9E" w:rsidP="005B2A01">
      <w:pPr>
        <w:pStyle w:val="ListParagraph"/>
        <w:ind w:left="360"/>
        <w:rPr>
          <w:rFonts w:ascii="Times New Roman" w:hAnsi="Times New Roman" w:cs="Times New Roman"/>
          <w:szCs w:val="22"/>
        </w:rPr>
      </w:pPr>
    </w:p>
    <w:p w14:paraId="3B9236D5" w14:textId="77777777" w:rsidR="00495B9E" w:rsidRPr="002F101E" w:rsidRDefault="00495B9E" w:rsidP="003838AC">
      <w:pPr>
        <w:pStyle w:val="ListParagraph"/>
        <w:numPr>
          <w:ilvl w:val="1"/>
          <w:numId w:val="2"/>
        </w:numPr>
        <w:ind w:left="1440"/>
        <w:rPr>
          <w:rFonts w:ascii="Times New Roman" w:hAnsi="Times New Roman" w:cs="Times New Roman"/>
          <w:szCs w:val="22"/>
        </w:rPr>
      </w:pPr>
      <w:r w:rsidRPr="002F101E">
        <w:rPr>
          <w:rFonts w:ascii="Times New Roman" w:hAnsi="Times New Roman" w:cs="Times New Roman"/>
          <w:szCs w:val="22"/>
        </w:rPr>
        <w:t>There is no necessity of a formal contract of agency; it can be implied which can arise from the act of parties or situations in which parties are put.</w:t>
      </w:r>
    </w:p>
    <w:p w14:paraId="734E5055" w14:textId="77777777" w:rsidR="00495B9E" w:rsidRPr="002F101E" w:rsidRDefault="00495B9E" w:rsidP="005B2A01">
      <w:pPr>
        <w:pStyle w:val="ListParagraph"/>
        <w:ind w:left="360"/>
        <w:rPr>
          <w:rFonts w:ascii="Times New Roman" w:hAnsi="Times New Roman" w:cs="Times New Roman"/>
          <w:szCs w:val="22"/>
        </w:rPr>
      </w:pPr>
    </w:p>
    <w:p w14:paraId="1E6CCD9C" w14:textId="77777777" w:rsidR="00495B9E" w:rsidRPr="002F101E" w:rsidRDefault="00495B9E" w:rsidP="003838AC">
      <w:pPr>
        <w:pStyle w:val="ListParagraph"/>
        <w:numPr>
          <w:ilvl w:val="0"/>
          <w:numId w:val="2"/>
        </w:numPr>
        <w:ind w:left="720"/>
        <w:rPr>
          <w:rFonts w:ascii="Times New Roman" w:hAnsi="Times New Roman" w:cs="Times New Roman"/>
          <w:szCs w:val="22"/>
        </w:rPr>
      </w:pPr>
      <w:r w:rsidRPr="002F101E">
        <w:rPr>
          <w:rFonts w:ascii="Times New Roman" w:hAnsi="Times New Roman" w:cs="Times New Roman"/>
          <w:szCs w:val="22"/>
        </w:rPr>
        <w:t>The use of “commission/brokerage” as a nomenclature for payment and dealing between parties is not enough for triggering WHT implications under this section. The payment is in fact, commission/brokerage or not depends on the facts and circumstances of the case and the conduct between parties.</w:t>
      </w:r>
    </w:p>
    <w:p w14:paraId="4F188F8B" w14:textId="77777777" w:rsidR="00495B9E" w:rsidRPr="002F101E" w:rsidRDefault="00495B9E" w:rsidP="005B2A01">
      <w:pPr>
        <w:pStyle w:val="ListParagraph"/>
        <w:rPr>
          <w:rFonts w:ascii="Times New Roman" w:hAnsi="Times New Roman" w:cs="Times New Roman"/>
          <w:szCs w:val="22"/>
        </w:rPr>
      </w:pPr>
    </w:p>
    <w:p w14:paraId="2FA15015" w14:textId="6DD52F48" w:rsidR="00495B9E" w:rsidRPr="002F101E" w:rsidRDefault="00495B9E" w:rsidP="003838AC">
      <w:pPr>
        <w:pStyle w:val="ListParagraph"/>
        <w:numPr>
          <w:ilvl w:val="0"/>
          <w:numId w:val="2"/>
        </w:numPr>
        <w:ind w:left="720"/>
        <w:rPr>
          <w:rFonts w:ascii="Times New Roman" w:hAnsi="Times New Roman" w:cs="Times New Roman"/>
          <w:szCs w:val="22"/>
        </w:rPr>
      </w:pPr>
      <w:r w:rsidRPr="002F101E">
        <w:rPr>
          <w:rFonts w:ascii="Times New Roman" w:hAnsi="Times New Roman" w:cs="Times New Roman"/>
          <w:szCs w:val="22"/>
        </w:rPr>
        <w:t>Though commission is typically determined on the value of goods/services, still the manner of calculation of commission or the manner of payment of commission may not be always relevant for examining WHT implications.</w:t>
      </w:r>
    </w:p>
    <w:p w14:paraId="1F16A7D0" w14:textId="77777777" w:rsidR="00495B9E" w:rsidRPr="002F101E" w:rsidRDefault="00495B9E" w:rsidP="00495B9E">
      <w:pPr>
        <w:pStyle w:val="ListParagraph"/>
        <w:rPr>
          <w:rFonts w:ascii="Times New Roman" w:hAnsi="Times New Roman" w:cs="Times New Roman"/>
          <w:b/>
          <w:bCs/>
          <w:szCs w:val="22"/>
        </w:rPr>
      </w:pPr>
    </w:p>
    <w:p w14:paraId="6990D530" w14:textId="103B1F87" w:rsidR="003E34FB" w:rsidRPr="002F101E" w:rsidRDefault="002525A4" w:rsidP="00606412">
      <w:pPr>
        <w:pStyle w:val="ListParagraph"/>
        <w:numPr>
          <w:ilvl w:val="0"/>
          <w:numId w:val="1"/>
        </w:numPr>
        <w:rPr>
          <w:rFonts w:ascii="Times New Roman" w:hAnsi="Times New Roman" w:cs="Times New Roman"/>
          <w:szCs w:val="22"/>
        </w:rPr>
      </w:pPr>
      <w:r w:rsidRPr="002F101E">
        <w:rPr>
          <w:rFonts w:ascii="Times New Roman" w:hAnsi="Times New Roman" w:cs="Times New Roman"/>
          <w:b/>
          <w:bCs/>
          <w:szCs w:val="22"/>
        </w:rPr>
        <w:t>Illustrative transactions:</w:t>
      </w:r>
    </w:p>
    <w:p w14:paraId="2D00C11E" w14:textId="77777777" w:rsidR="002525A4" w:rsidRPr="002F101E" w:rsidRDefault="002525A4" w:rsidP="002525A4">
      <w:pPr>
        <w:pStyle w:val="ListParagraph"/>
        <w:rPr>
          <w:rFonts w:ascii="Times New Roman" w:hAnsi="Times New Roman" w:cs="Times New Roman"/>
          <w:szCs w:val="22"/>
        </w:rPr>
      </w:pPr>
    </w:p>
    <w:p w14:paraId="45F11658" w14:textId="77777777" w:rsidR="003E34FB" w:rsidRPr="002F101E" w:rsidRDefault="00EE3341" w:rsidP="00EE3341">
      <w:pPr>
        <w:pStyle w:val="ListParagraph"/>
        <w:numPr>
          <w:ilvl w:val="1"/>
          <w:numId w:val="1"/>
        </w:numPr>
        <w:ind w:left="426"/>
        <w:rPr>
          <w:rFonts w:ascii="Times New Roman" w:hAnsi="Times New Roman" w:cs="Times New Roman"/>
          <w:szCs w:val="22"/>
        </w:rPr>
      </w:pPr>
      <w:r w:rsidRPr="002F101E">
        <w:rPr>
          <w:rFonts w:ascii="Times New Roman" w:hAnsi="Times New Roman" w:cs="Times New Roman"/>
          <w:b/>
          <w:bCs/>
          <w:szCs w:val="22"/>
        </w:rPr>
        <w:t>Turnover Commission payable by RBI to Agency Banks</w:t>
      </w:r>
      <w:r w:rsidRPr="002F101E">
        <w:rPr>
          <w:rFonts w:ascii="Times New Roman" w:hAnsi="Times New Roman" w:cs="Times New Roman"/>
          <w:szCs w:val="22"/>
        </w:rPr>
        <w:t> - Requirement of tax deduction at source under section 194H is not applicable in respect of Turnover Commission payable by the Reserve Bank of India to the Agency Banks (Banks authorized for conducting Government business) for performing the general banking business of the Central and State Governments on behalf of RBI - </w:t>
      </w:r>
      <w:proofErr w:type="gramStart"/>
      <w:r w:rsidRPr="002F101E">
        <w:rPr>
          <w:rFonts w:ascii="Times New Roman" w:hAnsi="Times New Roman" w:cs="Times New Roman"/>
          <w:szCs w:val="22"/>
        </w:rPr>
        <w:t>Circular :</w:t>
      </w:r>
      <w:proofErr w:type="gramEnd"/>
      <w:r w:rsidRPr="002F101E">
        <w:rPr>
          <w:rFonts w:ascii="Times New Roman" w:hAnsi="Times New Roman" w:cs="Times New Roman"/>
          <w:szCs w:val="22"/>
        </w:rPr>
        <w:t xml:space="preserve"> No. 6/2003, dated 3-9-2003.</w:t>
      </w:r>
    </w:p>
    <w:p w14:paraId="6E0AC63E" w14:textId="77777777" w:rsidR="00CC330B" w:rsidRPr="002F101E" w:rsidRDefault="00CC330B" w:rsidP="00CC330B">
      <w:pPr>
        <w:pStyle w:val="ListParagraph"/>
        <w:ind w:left="426"/>
        <w:rPr>
          <w:rFonts w:ascii="Times New Roman" w:hAnsi="Times New Roman" w:cs="Times New Roman"/>
          <w:szCs w:val="22"/>
        </w:rPr>
      </w:pPr>
    </w:p>
    <w:p w14:paraId="26F6E57F" w14:textId="3C5F3522" w:rsidR="00421705" w:rsidRPr="002F101E" w:rsidRDefault="002F18C3" w:rsidP="00FD71F9">
      <w:pPr>
        <w:pStyle w:val="ListParagraph"/>
        <w:numPr>
          <w:ilvl w:val="1"/>
          <w:numId w:val="1"/>
        </w:numPr>
        <w:ind w:left="426"/>
        <w:rPr>
          <w:rFonts w:ascii="Times New Roman" w:hAnsi="Times New Roman" w:cs="Times New Roman"/>
          <w:szCs w:val="22"/>
        </w:rPr>
      </w:pPr>
      <w:r w:rsidRPr="002F101E">
        <w:rPr>
          <w:rFonts w:ascii="Times New Roman" w:hAnsi="Times New Roman" w:cs="Times New Roman"/>
          <w:b/>
          <w:bCs/>
          <w:szCs w:val="22"/>
        </w:rPr>
        <w:t>C</w:t>
      </w:r>
      <w:r w:rsidR="00EE3341" w:rsidRPr="002F101E">
        <w:rPr>
          <w:rFonts w:ascii="Times New Roman" w:hAnsi="Times New Roman" w:cs="Times New Roman"/>
          <w:b/>
          <w:bCs/>
          <w:szCs w:val="22"/>
        </w:rPr>
        <w:t>ommission/</w:t>
      </w:r>
      <w:r w:rsidRPr="002F101E">
        <w:rPr>
          <w:rFonts w:ascii="Times New Roman" w:hAnsi="Times New Roman" w:cs="Times New Roman"/>
          <w:b/>
          <w:bCs/>
          <w:szCs w:val="22"/>
        </w:rPr>
        <w:t xml:space="preserve"> S</w:t>
      </w:r>
      <w:r w:rsidR="00EE3341" w:rsidRPr="002F101E">
        <w:rPr>
          <w:rFonts w:ascii="Times New Roman" w:hAnsi="Times New Roman" w:cs="Times New Roman"/>
          <w:b/>
          <w:bCs/>
          <w:szCs w:val="22"/>
        </w:rPr>
        <w:t xml:space="preserve">upplementary commission received by travel agents </w:t>
      </w:r>
      <w:r w:rsidRPr="002F101E">
        <w:rPr>
          <w:rFonts w:ascii="Times New Roman" w:hAnsi="Times New Roman" w:cs="Times New Roman"/>
          <w:szCs w:val="22"/>
        </w:rPr>
        <w:t>–</w:t>
      </w:r>
      <w:r w:rsidR="00EE3341" w:rsidRPr="002F101E">
        <w:rPr>
          <w:rFonts w:ascii="Times New Roman" w:hAnsi="Times New Roman" w:cs="Times New Roman"/>
          <w:szCs w:val="22"/>
        </w:rPr>
        <w:t xml:space="preserve"> </w:t>
      </w:r>
      <w:r w:rsidR="00421705" w:rsidRPr="002F101E">
        <w:rPr>
          <w:rFonts w:ascii="Times New Roman" w:hAnsi="Times New Roman" w:cs="Times New Roman"/>
          <w:szCs w:val="22"/>
        </w:rPr>
        <w:t xml:space="preserve">The Supreme Court in </w:t>
      </w:r>
      <w:r w:rsidR="00421705" w:rsidRPr="002F101E">
        <w:rPr>
          <w:rFonts w:ascii="Times New Roman" w:hAnsi="Times New Roman" w:cs="Times New Roman"/>
          <w:b/>
          <w:bCs/>
          <w:szCs w:val="22"/>
        </w:rPr>
        <w:t>Singapore Airlines Ltd. v. CIT [2022] 144 taxmann.com 221 / [2023] 290 Taxman 139 (SC)</w:t>
      </w:r>
      <w:r w:rsidR="00421705" w:rsidRPr="002F101E">
        <w:rPr>
          <w:rFonts w:ascii="Times New Roman" w:hAnsi="Times New Roman" w:cs="Times New Roman"/>
          <w:szCs w:val="22"/>
        </w:rPr>
        <w:t xml:space="preserve"> upheld the ruling of the Delhi High Court, affirming that </w:t>
      </w:r>
      <w:r w:rsidR="00421705" w:rsidRPr="002F101E">
        <w:rPr>
          <w:rFonts w:ascii="Times New Roman" w:hAnsi="Times New Roman" w:cs="Times New Roman"/>
          <w:b/>
          <w:bCs/>
          <w:szCs w:val="22"/>
        </w:rPr>
        <w:t>supplementary commission earned by travel agents over and above the net fare is subject to TDS under Section 194H</w:t>
      </w:r>
      <w:r w:rsidR="00421705" w:rsidRPr="002F101E">
        <w:rPr>
          <w:rFonts w:ascii="Times New Roman" w:hAnsi="Times New Roman" w:cs="Times New Roman"/>
          <w:szCs w:val="22"/>
        </w:rPr>
        <w:t>. The airline had agreements with travel agents who sold tickets on its behalf and earned payments in two forms—</w:t>
      </w:r>
      <w:r w:rsidR="00421705" w:rsidRPr="002F101E">
        <w:rPr>
          <w:rFonts w:ascii="Times New Roman" w:hAnsi="Times New Roman" w:cs="Times New Roman"/>
          <w:b/>
          <w:bCs/>
          <w:szCs w:val="22"/>
        </w:rPr>
        <w:t>standard commission (subject to TDS) and supplementary commission (not subjected to TDS by the airline)</w:t>
      </w:r>
      <w:r w:rsidR="00421705" w:rsidRPr="002F101E">
        <w:rPr>
          <w:rFonts w:ascii="Times New Roman" w:hAnsi="Times New Roman" w:cs="Times New Roman"/>
          <w:szCs w:val="22"/>
        </w:rPr>
        <w:t>. The key issue was whether this additional commission retained by travel agents constituted "commission" under Section 194H, thereby attracting a TDS obligation on the airline.</w:t>
      </w:r>
    </w:p>
    <w:p w14:paraId="0AF5A1B0" w14:textId="36767B02" w:rsidR="00102FC8" w:rsidRPr="002F101E" w:rsidRDefault="00102FC8" w:rsidP="00421705">
      <w:pPr>
        <w:pStyle w:val="ListParagraph"/>
        <w:ind w:left="426"/>
        <w:rPr>
          <w:rFonts w:ascii="Times New Roman" w:hAnsi="Times New Roman" w:cs="Times New Roman"/>
          <w:szCs w:val="22"/>
        </w:rPr>
      </w:pPr>
      <w:r w:rsidRPr="002F101E">
        <w:rPr>
          <w:rFonts w:ascii="Times New Roman" w:hAnsi="Times New Roman" w:cs="Times New Roman"/>
          <w:szCs w:val="22"/>
        </w:rPr>
        <w:lastRenderedPageBreak/>
        <w:t xml:space="preserve">The court held that </w:t>
      </w:r>
      <w:r w:rsidRPr="002F101E">
        <w:rPr>
          <w:rFonts w:ascii="Times New Roman" w:hAnsi="Times New Roman" w:cs="Times New Roman"/>
          <w:b/>
          <w:bCs/>
          <w:szCs w:val="22"/>
        </w:rPr>
        <w:t>Section 194H applies to both direct and indirect commission payments, irrespective of their mode or source</w:t>
      </w:r>
      <w:r w:rsidRPr="002F101E">
        <w:rPr>
          <w:rFonts w:ascii="Times New Roman" w:hAnsi="Times New Roman" w:cs="Times New Roman"/>
          <w:szCs w:val="22"/>
        </w:rPr>
        <w:t xml:space="preserve">. The relationship between the airline and travel agents was that of </w:t>
      </w:r>
      <w:r w:rsidRPr="002F101E">
        <w:rPr>
          <w:rFonts w:ascii="Times New Roman" w:hAnsi="Times New Roman" w:cs="Times New Roman"/>
          <w:b/>
          <w:bCs/>
          <w:szCs w:val="22"/>
        </w:rPr>
        <w:t>principal and agent under Section 182 of the Indian Contract Act, 1872</w:t>
      </w:r>
      <w:r w:rsidRPr="002F101E">
        <w:rPr>
          <w:rFonts w:ascii="Times New Roman" w:hAnsi="Times New Roman" w:cs="Times New Roman"/>
          <w:szCs w:val="22"/>
        </w:rPr>
        <w:t xml:space="preserve">, confirming that the supplementary commission was part of the overall agency arrangement. Since this additional amount was earned in connection with ticket sales and was known to the airline, it could not be classified as a mere discount. The Supreme Court ruled that the </w:t>
      </w:r>
      <w:r w:rsidRPr="002F101E">
        <w:rPr>
          <w:rFonts w:ascii="Times New Roman" w:hAnsi="Times New Roman" w:cs="Times New Roman"/>
          <w:b/>
          <w:bCs/>
          <w:szCs w:val="22"/>
        </w:rPr>
        <w:t>airline was required to deduct TDS on the supplementary commission</w:t>
      </w:r>
      <w:r w:rsidRPr="002F101E">
        <w:rPr>
          <w:rFonts w:ascii="Times New Roman" w:hAnsi="Times New Roman" w:cs="Times New Roman"/>
          <w:szCs w:val="22"/>
        </w:rPr>
        <w:t xml:space="preserve">, reinforcing the principle that </w:t>
      </w:r>
      <w:r w:rsidRPr="002F101E">
        <w:rPr>
          <w:rFonts w:ascii="Times New Roman" w:hAnsi="Times New Roman" w:cs="Times New Roman"/>
          <w:b/>
          <w:bCs/>
          <w:szCs w:val="22"/>
        </w:rPr>
        <w:t>any earnings by an agent arising from an agency relationship, whether received directly or indirectly, are subject to TDS under Section 194H</w:t>
      </w:r>
      <w:r w:rsidRPr="002F101E">
        <w:rPr>
          <w:rFonts w:ascii="Times New Roman" w:hAnsi="Times New Roman" w:cs="Times New Roman"/>
          <w:szCs w:val="22"/>
        </w:rPr>
        <w:t>.</w:t>
      </w:r>
    </w:p>
    <w:p w14:paraId="752F6576" w14:textId="77777777" w:rsidR="00102FC8" w:rsidRPr="002F101E" w:rsidRDefault="00102FC8" w:rsidP="00421705">
      <w:pPr>
        <w:pStyle w:val="ListParagraph"/>
        <w:ind w:left="426"/>
        <w:rPr>
          <w:rFonts w:ascii="Times New Roman" w:hAnsi="Times New Roman" w:cs="Times New Roman"/>
          <w:szCs w:val="22"/>
        </w:rPr>
      </w:pPr>
    </w:p>
    <w:p w14:paraId="52F4382D" w14:textId="77777777" w:rsidR="00FD71F9" w:rsidRPr="002F101E" w:rsidRDefault="00EE3341" w:rsidP="002F18C3">
      <w:pPr>
        <w:pStyle w:val="ListParagraph"/>
        <w:ind w:left="426"/>
        <w:rPr>
          <w:rFonts w:ascii="Times New Roman" w:hAnsi="Times New Roman" w:cs="Times New Roman"/>
          <w:szCs w:val="22"/>
        </w:rPr>
      </w:pPr>
      <w:r w:rsidRPr="002F101E">
        <w:rPr>
          <w:rFonts w:ascii="Times New Roman" w:hAnsi="Times New Roman" w:cs="Times New Roman"/>
          <w:szCs w:val="22"/>
        </w:rPr>
        <w:t>In the case of Around the World Travels &amp; Tours (P.) Ltd. v. Union of India </w:t>
      </w:r>
      <w:hyperlink r:id="rId10" w:history="1">
        <w:r w:rsidRPr="002F101E">
          <w:rPr>
            <w:rStyle w:val="Hyperlink"/>
            <w:rFonts w:ascii="Times New Roman" w:hAnsi="Times New Roman" w:cs="Times New Roman"/>
            <w:szCs w:val="22"/>
          </w:rPr>
          <w:t>[2004] 141 Taxman 53 (Mad.)</w:t>
        </w:r>
      </w:hyperlink>
      <w:r w:rsidRPr="002F101E">
        <w:rPr>
          <w:rFonts w:ascii="Times New Roman" w:hAnsi="Times New Roman" w:cs="Times New Roman"/>
          <w:szCs w:val="22"/>
        </w:rPr>
        <w:t xml:space="preserve">, it was held that tax should be deducted at source under section 194H on amount available to agents being difference between airfare fixed by Airlines and price at which agents are enabled to sell tickets. </w:t>
      </w:r>
    </w:p>
    <w:p w14:paraId="43C4EDAC" w14:textId="77777777" w:rsidR="00A62CE6" w:rsidRPr="002F101E" w:rsidRDefault="00A62CE6" w:rsidP="00A62CE6">
      <w:pPr>
        <w:pStyle w:val="ListParagraph"/>
        <w:rPr>
          <w:rFonts w:ascii="Times New Roman" w:hAnsi="Times New Roman" w:cs="Times New Roman"/>
          <w:b/>
          <w:bCs/>
          <w:szCs w:val="22"/>
        </w:rPr>
      </w:pPr>
    </w:p>
    <w:p w14:paraId="561BA11F" w14:textId="77777777" w:rsidR="00C15EEB" w:rsidRPr="002F101E" w:rsidRDefault="00F02924" w:rsidP="00C15EEB">
      <w:pPr>
        <w:pStyle w:val="ListParagraph"/>
        <w:numPr>
          <w:ilvl w:val="1"/>
          <w:numId w:val="1"/>
        </w:numPr>
        <w:ind w:left="426"/>
        <w:rPr>
          <w:rFonts w:ascii="Times New Roman" w:hAnsi="Times New Roman" w:cs="Times New Roman"/>
          <w:szCs w:val="22"/>
        </w:rPr>
      </w:pPr>
      <w:r w:rsidRPr="002F101E">
        <w:rPr>
          <w:rFonts w:ascii="Times New Roman" w:hAnsi="Times New Roman" w:cs="Times New Roman"/>
          <w:b/>
          <w:bCs/>
          <w:szCs w:val="22"/>
        </w:rPr>
        <w:t>P</w:t>
      </w:r>
      <w:r w:rsidR="00EE3341" w:rsidRPr="002F101E">
        <w:rPr>
          <w:rFonts w:ascii="Times New Roman" w:hAnsi="Times New Roman" w:cs="Times New Roman"/>
          <w:b/>
          <w:bCs/>
          <w:szCs w:val="22"/>
        </w:rPr>
        <w:t>ayments by television channels and publishing houses to advertisement companies for procuring or canvassing for advertisements</w:t>
      </w:r>
      <w:r w:rsidR="00EE3341" w:rsidRPr="002F101E">
        <w:rPr>
          <w:rFonts w:ascii="Times New Roman" w:hAnsi="Times New Roman" w:cs="Times New Roman"/>
          <w:szCs w:val="22"/>
        </w:rPr>
        <w:t> - The issue of applicability of TDS provisions on payments made by television channels or media houses publishing newspapers or magazines to advertising agencies for procuring and canvassing for advertisements has been examined by the Board.</w:t>
      </w:r>
    </w:p>
    <w:p w14:paraId="2D215D19" w14:textId="77777777" w:rsidR="00C15EEB" w:rsidRPr="002F101E" w:rsidRDefault="00C15EEB" w:rsidP="00C15EEB">
      <w:pPr>
        <w:pStyle w:val="ListParagraph"/>
        <w:ind w:left="426"/>
        <w:rPr>
          <w:rFonts w:ascii="Times New Roman" w:hAnsi="Times New Roman" w:cs="Times New Roman"/>
          <w:szCs w:val="22"/>
        </w:rPr>
      </w:pPr>
    </w:p>
    <w:p w14:paraId="35AECF77" w14:textId="73FD4B24" w:rsidR="0059605A" w:rsidRPr="002F101E" w:rsidRDefault="00EE3341" w:rsidP="00C15EEB">
      <w:pPr>
        <w:pStyle w:val="ListParagraph"/>
        <w:ind w:left="426"/>
        <w:rPr>
          <w:rFonts w:ascii="Times New Roman" w:hAnsi="Times New Roman" w:cs="Times New Roman"/>
          <w:szCs w:val="22"/>
        </w:rPr>
      </w:pPr>
      <w:r w:rsidRPr="002F101E">
        <w:rPr>
          <w:rFonts w:ascii="Times New Roman" w:hAnsi="Times New Roman" w:cs="Times New Roman"/>
          <w:szCs w:val="22"/>
        </w:rPr>
        <w:t>It is noted that there are two types of payments involved in the advertising business:</w:t>
      </w:r>
    </w:p>
    <w:p w14:paraId="692B6CFE" w14:textId="5601423D" w:rsidR="0059605A" w:rsidRPr="002F101E" w:rsidRDefault="0059605A" w:rsidP="00534DAA">
      <w:pPr>
        <w:pStyle w:val="ListParagraph"/>
        <w:numPr>
          <w:ilvl w:val="3"/>
          <w:numId w:val="1"/>
        </w:numPr>
        <w:rPr>
          <w:rFonts w:ascii="Times New Roman" w:hAnsi="Times New Roman" w:cs="Times New Roman"/>
          <w:szCs w:val="22"/>
        </w:rPr>
      </w:pPr>
      <w:r w:rsidRPr="002F101E">
        <w:rPr>
          <w:rFonts w:ascii="Times New Roman" w:hAnsi="Times New Roman" w:cs="Times New Roman"/>
          <w:szCs w:val="22"/>
        </w:rPr>
        <w:t>Payment by client to the advertising agency, and</w:t>
      </w:r>
    </w:p>
    <w:p w14:paraId="00D66889" w14:textId="2B2EB814" w:rsidR="0059605A" w:rsidRPr="002F101E" w:rsidRDefault="0059605A" w:rsidP="00534DAA">
      <w:pPr>
        <w:pStyle w:val="ListParagraph"/>
        <w:numPr>
          <w:ilvl w:val="3"/>
          <w:numId w:val="1"/>
        </w:numPr>
        <w:rPr>
          <w:rFonts w:ascii="Times New Roman" w:hAnsi="Times New Roman" w:cs="Times New Roman"/>
          <w:szCs w:val="22"/>
        </w:rPr>
      </w:pPr>
      <w:r w:rsidRPr="002F101E">
        <w:rPr>
          <w:rFonts w:ascii="Times New Roman" w:hAnsi="Times New Roman" w:cs="Times New Roman"/>
          <w:szCs w:val="22"/>
        </w:rPr>
        <w:t>Payment by advertising agency to the television channel/newspaper company</w:t>
      </w:r>
    </w:p>
    <w:p w14:paraId="06771173" w14:textId="77777777" w:rsidR="00534DAA" w:rsidRPr="002F101E" w:rsidRDefault="00EE3341" w:rsidP="00534DAA">
      <w:pPr>
        <w:ind w:left="426"/>
        <w:rPr>
          <w:rFonts w:ascii="Times New Roman" w:hAnsi="Times New Roman" w:cs="Times New Roman"/>
          <w:szCs w:val="22"/>
        </w:rPr>
      </w:pPr>
      <w:r w:rsidRPr="002F101E">
        <w:rPr>
          <w:rFonts w:ascii="Times New Roman" w:hAnsi="Times New Roman" w:cs="Times New Roman"/>
          <w:szCs w:val="22"/>
        </w:rPr>
        <w:t>The applicability of TDS on these payments has already been dealt with in Circular No. 715 dated 8-8-1995, where it has been clarified in Question Nos. 1 &amp; 2 that while TDS under section 194C (as work contract) will be applicable on the first type of payment, there will be no TDS under section 194C on the second type of payment e.g. payment by advertising agency to the media company.</w:t>
      </w:r>
    </w:p>
    <w:p w14:paraId="7FF1BCFA" w14:textId="77777777" w:rsidR="00D85D73" w:rsidRPr="002F101E" w:rsidRDefault="00EE3341" w:rsidP="00D85D73">
      <w:pPr>
        <w:ind w:left="426"/>
        <w:rPr>
          <w:rFonts w:ascii="Times New Roman" w:hAnsi="Times New Roman" w:cs="Times New Roman"/>
          <w:szCs w:val="22"/>
        </w:rPr>
      </w:pPr>
      <w:r w:rsidRPr="002F101E">
        <w:rPr>
          <w:rFonts w:ascii="Times New Roman" w:hAnsi="Times New Roman" w:cs="Times New Roman"/>
          <w:szCs w:val="22"/>
        </w:rPr>
        <w:t xml:space="preserve">However, another issue has been raised in various cases as to whether the fees/charges taken or retained by advertising companies from media companies for canvassing/booking advertisements (typically 15% of the billing) is 'commission' or 'discount'. It has been argued by the </w:t>
      </w:r>
      <w:proofErr w:type="spellStart"/>
      <w:r w:rsidRPr="002F101E">
        <w:rPr>
          <w:rFonts w:ascii="Times New Roman" w:hAnsi="Times New Roman" w:cs="Times New Roman"/>
          <w:szCs w:val="22"/>
        </w:rPr>
        <w:t>assessees</w:t>
      </w:r>
      <w:proofErr w:type="spellEnd"/>
      <w:r w:rsidRPr="002F101E">
        <w:rPr>
          <w:rFonts w:ascii="Times New Roman" w:hAnsi="Times New Roman" w:cs="Times New Roman"/>
          <w:szCs w:val="22"/>
        </w:rPr>
        <w:t xml:space="preserve"> that since the relationship between the media company and the advertising company is on a principal-to-principal basis, such payments are </w:t>
      </w:r>
      <w:proofErr w:type="gramStart"/>
      <w:r w:rsidRPr="002F101E">
        <w:rPr>
          <w:rFonts w:ascii="Times New Roman" w:hAnsi="Times New Roman" w:cs="Times New Roman"/>
          <w:szCs w:val="22"/>
        </w:rPr>
        <w:t>in the nature of trade</w:t>
      </w:r>
      <w:proofErr w:type="gramEnd"/>
      <w:r w:rsidRPr="002F101E">
        <w:rPr>
          <w:rFonts w:ascii="Times New Roman" w:hAnsi="Times New Roman" w:cs="Times New Roman"/>
          <w:szCs w:val="22"/>
        </w:rPr>
        <w:t xml:space="preserve"> discount and not commission and, therefore, outside the purview of TDS under section 194H. The Department, on the other hand, has taken the stand in some cases that since the advertising agencies act on behalf of the media companies for procuring advertisements, the margin retained by the former amounts to constructive payment of commission and, accordingly, TDS under section 194H is attracted.</w:t>
      </w:r>
    </w:p>
    <w:p w14:paraId="6F44C980" w14:textId="77777777" w:rsidR="00D85D73" w:rsidRPr="002F101E" w:rsidRDefault="00EE3341" w:rsidP="00D85D73">
      <w:pPr>
        <w:ind w:left="426"/>
        <w:rPr>
          <w:rFonts w:ascii="Times New Roman" w:hAnsi="Times New Roman" w:cs="Times New Roman"/>
          <w:szCs w:val="22"/>
        </w:rPr>
      </w:pPr>
      <w:r w:rsidRPr="002F101E">
        <w:rPr>
          <w:rFonts w:ascii="Times New Roman" w:hAnsi="Times New Roman" w:cs="Times New Roman"/>
          <w:szCs w:val="22"/>
        </w:rPr>
        <w:t>The issue has been examined by the Allahabad High Court in the case of Jagran Prakashan Ltd. v. Dy. CIT </w:t>
      </w:r>
      <w:hyperlink r:id="rId11" w:history="1">
        <w:r w:rsidRPr="002F101E">
          <w:rPr>
            <w:rStyle w:val="Hyperlink"/>
            <w:rFonts w:ascii="Times New Roman" w:hAnsi="Times New Roman" w:cs="Times New Roman"/>
            <w:szCs w:val="22"/>
          </w:rPr>
          <w:t>[2015] 56 taxmann.com 208 </w:t>
        </w:r>
      </w:hyperlink>
      <w:r w:rsidRPr="002F101E">
        <w:rPr>
          <w:rFonts w:ascii="Times New Roman" w:hAnsi="Times New Roman" w:cs="Times New Roman"/>
          <w:szCs w:val="22"/>
        </w:rPr>
        <w:t xml:space="preserve">and Delhi High Court in the matter of Living Media Limited and it was held in both the cases that the relationship between the media company and the advertising agency is that of a 'principal-to-principal' and, therefore, not liable for TDS under section 194H. The SLPs filed by the Department in the matter of Living Media Ltd. and Jagran Prakashan Ltd. have been dismissed by the Supreme Court vide order dated 11-12-2009 and order dated 5-5-2014, respectively. Though </w:t>
      </w:r>
      <w:r w:rsidRPr="002F101E">
        <w:rPr>
          <w:rFonts w:ascii="Times New Roman" w:hAnsi="Times New Roman" w:cs="Times New Roman"/>
          <w:szCs w:val="22"/>
        </w:rPr>
        <w:lastRenderedPageBreak/>
        <w:t>these decisions are in respect of print media, the ratio is also applicable to electronic media/television advertising as the broad nature of the activities involved is similar.</w:t>
      </w:r>
    </w:p>
    <w:p w14:paraId="4CE2FAE6" w14:textId="3B16A856" w:rsidR="00EE3341" w:rsidRPr="002F101E" w:rsidRDefault="00EE3341" w:rsidP="00D85D73">
      <w:pPr>
        <w:ind w:left="426"/>
        <w:rPr>
          <w:rFonts w:ascii="Times New Roman" w:hAnsi="Times New Roman" w:cs="Times New Roman"/>
          <w:szCs w:val="22"/>
        </w:rPr>
      </w:pPr>
      <w:r w:rsidRPr="002F101E">
        <w:rPr>
          <w:rFonts w:ascii="Times New Roman" w:hAnsi="Times New Roman" w:cs="Times New Roman"/>
          <w:szCs w:val="22"/>
        </w:rPr>
        <w:t>In view of the above, it is hereby clarified that no TDS is attracted on payments made by television channels/newspaper companies to the advertising agency for booking or procuring of or canvassing for advertisements. It is also further clarified that 'commission' referred to in Question No. 27 of the Board's Circular No. 715 dated 8-8-1995 does not refer to payments by media companies to advertising companies for booking of advertisements but to payments for engagement of models, artists, photographers, sportspersons, etc. and, therefore, is not relevant to the issue of TDS referred to in this Circular.—Circular No. 5/2016, dated 29-2-2016.</w:t>
      </w:r>
    </w:p>
    <w:p w14:paraId="5CC1FE40" w14:textId="77777777" w:rsidR="00CB1A28" w:rsidRPr="002F101E" w:rsidRDefault="009C11F2" w:rsidP="00A1609F">
      <w:pPr>
        <w:pStyle w:val="ListParagraph"/>
        <w:numPr>
          <w:ilvl w:val="1"/>
          <w:numId w:val="1"/>
        </w:numPr>
        <w:ind w:left="426"/>
        <w:rPr>
          <w:rFonts w:ascii="Times New Roman" w:hAnsi="Times New Roman" w:cs="Times New Roman"/>
          <w:szCs w:val="22"/>
        </w:rPr>
      </w:pPr>
      <w:r w:rsidRPr="002F101E">
        <w:rPr>
          <w:rFonts w:ascii="Times New Roman" w:hAnsi="Times New Roman" w:cs="Times New Roman"/>
          <w:b/>
          <w:bCs/>
          <w:szCs w:val="22"/>
        </w:rPr>
        <w:t xml:space="preserve">Commission paid to agencies </w:t>
      </w:r>
      <w:r w:rsidR="00A1609F" w:rsidRPr="002F101E">
        <w:rPr>
          <w:rFonts w:ascii="Times New Roman" w:hAnsi="Times New Roman" w:cs="Times New Roman"/>
          <w:b/>
          <w:bCs/>
          <w:szCs w:val="22"/>
        </w:rPr>
        <w:t>-</w:t>
      </w:r>
      <w:r w:rsidR="00A1609F" w:rsidRPr="002F101E">
        <w:rPr>
          <w:rFonts w:ascii="Times New Roman" w:hAnsi="Times New Roman" w:cs="Times New Roman"/>
          <w:szCs w:val="22"/>
        </w:rPr>
        <w:t xml:space="preserve"> Section 194H would be applicable to payments made by </w:t>
      </w:r>
      <w:proofErr w:type="spellStart"/>
      <w:r w:rsidR="00A1609F" w:rsidRPr="002F101E">
        <w:rPr>
          <w:rFonts w:ascii="Times New Roman" w:hAnsi="Times New Roman" w:cs="Times New Roman"/>
          <w:szCs w:val="22"/>
        </w:rPr>
        <w:t>assessee</w:t>
      </w:r>
      <w:proofErr w:type="spellEnd"/>
      <w:r w:rsidR="00A1609F" w:rsidRPr="002F101E">
        <w:rPr>
          <w:rFonts w:ascii="Times New Roman" w:hAnsi="Times New Roman" w:cs="Times New Roman"/>
          <w:szCs w:val="22"/>
        </w:rPr>
        <w:t>, a Government organization running TV channel called '</w:t>
      </w:r>
      <w:proofErr w:type="spellStart"/>
      <w:r w:rsidR="00A1609F" w:rsidRPr="002F101E">
        <w:rPr>
          <w:rFonts w:ascii="Times New Roman" w:hAnsi="Times New Roman" w:cs="Times New Roman"/>
          <w:szCs w:val="22"/>
        </w:rPr>
        <w:t>Doordarshan</w:t>
      </w:r>
      <w:proofErr w:type="spellEnd"/>
      <w:r w:rsidR="00A1609F" w:rsidRPr="002F101E">
        <w:rPr>
          <w:rFonts w:ascii="Times New Roman" w:hAnsi="Times New Roman" w:cs="Times New Roman"/>
          <w:szCs w:val="22"/>
        </w:rPr>
        <w:t>', to advertising agencies to secure more business as these were in nature of commission paid to agencies [Director, Prasar Bharati v. CIT </w:t>
      </w:r>
      <w:hyperlink r:id="rId12" w:history="1">
        <w:r w:rsidR="00A1609F" w:rsidRPr="002F101E">
          <w:rPr>
            <w:rStyle w:val="Hyperlink"/>
            <w:rFonts w:ascii="Times New Roman" w:hAnsi="Times New Roman" w:cs="Times New Roman"/>
            <w:szCs w:val="22"/>
          </w:rPr>
          <w:t>[2018] 92 taxmann.com 11/255 Taxman 1 (SC)</w:t>
        </w:r>
      </w:hyperlink>
      <w:r w:rsidR="00A1609F" w:rsidRPr="002F101E">
        <w:rPr>
          <w:rFonts w:ascii="Times New Roman" w:hAnsi="Times New Roman" w:cs="Times New Roman"/>
          <w:szCs w:val="22"/>
        </w:rPr>
        <w:t xml:space="preserve">]. </w:t>
      </w:r>
    </w:p>
    <w:p w14:paraId="1BAB887D" w14:textId="77777777" w:rsidR="00CB1A28" w:rsidRPr="002F101E" w:rsidRDefault="00CB1A28" w:rsidP="00CB1A28">
      <w:pPr>
        <w:pStyle w:val="ListParagraph"/>
        <w:ind w:left="426"/>
        <w:rPr>
          <w:rFonts w:ascii="Times New Roman" w:hAnsi="Times New Roman" w:cs="Times New Roman"/>
          <w:szCs w:val="22"/>
        </w:rPr>
      </w:pPr>
    </w:p>
    <w:p w14:paraId="676E8431" w14:textId="16133027" w:rsidR="00C34373" w:rsidRPr="002F101E" w:rsidRDefault="00CB1A28" w:rsidP="004A08E8">
      <w:pPr>
        <w:pStyle w:val="ListParagraph"/>
        <w:numPr>
          <w:ilvl w:val="1"/>
          <w:numId w:val="1"/>
        </w:numPr>
        <w:ind w:left="426"/>
        <w:rPr>
          <w:rFonts w:ascii="Times New Roman" w:hAnsi="Times New Roman" w:cs="Times New Roman"/>
          <w:szCs w:val="22"/>
        </w:rPr>
      </w:pPr>
      <w:r w:rsidRPr="002F101E">
        <w:rPr>
          <w:rFonts w:ascii="Times New Roman" w:hAnsi="Times New Roman" w:cs="Times New Roman"/>
          <w:b/>
          <w:bCs/>
          <w:szCs w:val="22"/>
        </w:rPr>
        <w:t>Credit card purchases -</w:t>
      </w:r>
      <w:r w:rsidRPr="002F101E">
        <w:rPr>
          <w:rFonts w:ascii="Times New Roman" w:hAnsi="Times New Roman" w:cs="Times New Roman"/>
          <w:szCs w:val="22"/>
        </w:rPr>
        <w:t> Commission to bank on payments received from customers who had made purchases through credit cards is not liable to TDS [CIT v. JSD Apparels (P.) Ltd. </w:t>
      </w:r>
      <w:hyperlink r:id="rId13" w:history="1">
        <w:r w:rsidRPr="002F101E">
          <w:rPr>
            <w:rStyle w:val="Hyperlink"/>
            <w:rFonts w:ascii="Times New Roman" w:hAnsi="Times New Roman" w:cs="Times New Roman"/>
            <w:szCs w:val="22"/>
          </w:rPr>
          <w:t>[2015] 53 taxmann.com 139 (Delhi)</w:t>
        </w:r>
      </w:hyperlink>
      <w:r w:rsidRPr="002F101E">
        <w:rPr>
          <w:rFonts w:ascii="Times New Roman" w:hAnsi="Times New Roman" w:cs="Times New Roman"/>
          <w:szCs w:val="22"/>
        </w:rPr>
        <w:t>].</w:t>
      </w:r>
    </w:p>
    <w:p w14:paraId="5C739435" w14:textId="77777777" w:rsidR="004A08E8" w:rsidRPr="002F101E" w:rsidRDefault="004A08E8" w:rsidP="004A08E8">
      <w:pPr>
        <w:pStyle w:val="ListParagraph"/>
        <w:rPr>
          <w:rFonts w:ascii="Times New Roman" w:hAnsi="Times New Roman" w:cs="Times New Roman"/>
          <w:szCs w:val="22"/>
        </w:rPr>
      </w:pPr>
    </w:p>
    <w:p w14:paraId="1BC78934" w14:textId="37D1E0D0" w:rsidR="00C34373" w:rsidRPr="002F101E" w:rsidRDefault="00C34373" w:rsidP="00C34373">
      <w:pPr>
        <w:pStyle w:val="ListParagraph"/>
        <w:numPr>
          <w:ilvl w:val="1"/>
          <w:numId w:val="1"/>
        </w:numPr>
        <w:ind w:left="426"/>
        <w:rPr>
          <w:rFonts w:ascii="Times New Roman" w:hAnsi="Times New Roman" w:cs="Times New Roman"/>
          <w:szCs w:val="22"/>
        </w:rPr>
      </w:pPr>
      <w:r w:rsidRPr="002F101E">
        <w:rPr>
          <w:rFonts w:ascii="Times New Roman" w:hAnsi="Times New Roman" w:cs="Times New Roman"/>
          <w:b/>
          <w:bCs/>
          <w:szCs w:val="22"/>
        </w:rPr>
        <w:t>Trade Discounts &amp; Sales Incentives:</w:t>
      </w:r>
    </w:p>
    <w:p w14:paraId="7D494269" w14:textId="77777777" w:rsidR="00DE357A" w:rsidRPr="002F101E" w:rsidRDefault="00DE357A" w:rsidP="00DE357A">
      <w:pPr>
        <w:pStyle w:val="ListParagraph"/>
        <w:rPr>
          <w:rFonts w:ascii="Times New Roman" w:hAnsi="Times New Roman" w:cs="Times New Roman"/>
          <w:szCs w:val="22"/>
        </w:rPr>
      </w:pPr>
    </w:p>
    <w:p w14:paraId="16912D0D" w14:textId="52FADEFC" w:rsidR="00C34373" w:rsidRPr="002F101E" w:rsidRDefault="00C34373" w:rsidP="003838AC">
      <w:pPr>
        <w:pStyle w:val="ListParagraph"/>
        <w:numPr>
          <w:ilvl w:val="0"/>
          <w:numId w:val="6"/>
        </w:numPr>
        <w:rPr>
          <w:rFonts w:ascii="Times New Roman" w:hAnsi="Times New Roman" w:cs="Times New Roman"/>
          <w:szCs w:val="22"/>
        </w:rPr>
      </w:pPr>
      <w:r w:rsidRPr="002F101E">
        <w:rPr>
          <w:rFonts w:ascii="Times New Roman" w:hAnsi="Times New Roman" w:cs="Times New Roman"/>
          <w:szCs w:val="22"/>
        </w:rPr>
        <w:t xml:space="preserve">In </w:t>
      </w:r>
      <w:r w:rsidRPr="002F101E">
        <w:rPr>
          <w:rFonts w:ascii="Times New Roman" w:hAnsi="Times New Roman" w:cs="Times New Roman"/>
          <w:b/>
          <w:bCs/>
          <w:szCs w:val="22"/>
        </w:rPr>
        <w:t>Gujarat Tea Processors &amp; Packers Ltd. v. DCIT [2012] 28 taxmann.com 187 (Guj.)</w:t>
      </w:r>
      <w:r w:rsidRPr="002F101E">
        <w:rPr>
          <w:rFonts w:ascii="Times New Roman" w:hAnsi="Times New Roman" w:cs="Times New Roman"/>
          <w:szCs w:val="22"/>
        </w:rPr>
        <w:t xml:space="preserve">, it was held that </w:t>
      </w:r>
      <w:r w:rsidRPr="002F101E">
        <w:rPr>
          <w:rFonts w:ascii="Times New Roman" w:hAnsi="Times New Roman" w:cs="Times New Roman"/>
          <w:b/>
          <w:bCs/>
          <w:szCs w:val="22"/>
        </w:rPr>
        <w:t>trade discounts given by a manufacturer/seller to a retailer under a sales promotion scheme do not attract TDS under Section 194H</w:t>
      </w:r>
      <w:r w:rsidRPr="002F101E">
        <w:rPr>
          <w:rFonts w:ascii="Times New Roman" w:hAnsi="Times New Roman" w:cs="Times New Roman"/>
          <w:szCs w:val="22"/>
        </w:rPr>
        <w:t xml:space="preserve"> as they do not constitute commission.</w:t>
      </w:r>
    </w:p>
    <w:p w14:paraId="74AA254B" w14:textId="6BFE51B3" w:rsidR="00C34373" w:rsidRPr="002F101E" w:rsidRDefault="00C34373" w:rsidP="003838AC">
      <w:pPr>
        <w:pStyle w:val="ListParagraph"/>
        <w:numPr>
          <w:ilvl w:val="0"/>
          <w:numId w:val="6"/>
        </w:numPr>
        <w:rPr>
          <w:rFonts w:ascii="Times New Roman" w:hAnsi="Times New Roman" w:cs="Times New Roman"/>
          <w:szCs w:val="22"/>
        </w:rPr>
      </w:pPr>
      <w:r w:rsidRPr="002F101E">
        <w:rPr>
          <w:rFonts w:ascii="Times New Roman" w:hAnsi="Times New Roman" w:cs="Times New Roman"/>
          <w:b/>
          <w:bCs/>
          <w:szCs w:val="22"/>
        </w:rPr>
        <w:t>Trade discount</w:t>
      </w:r>
      <w:r w:rsidRPr="002F101E">
        <w:rPr>
          <w:rFonts w:ascii="Times New Roman" w:hAnsi="Times New Roman" w:cs="Times New Roman"/>
          <w:szCs w:val="22"/>
        </w:rPr>
        <w:t xml:space="preserve"> given by newspaper agencies to advertising agencies working for advertisers is not in nature of commission [Jagran Prakashan Ltd. v. DCIT </w:t>
      </w:r>
      <w:hyperlink r:id="rId14" w:history="1">
        <w:r w:rsidRPr="002F101E">
          <w:rPr>
            <w:rStyle w:val="Hyperlink"/>
            <w:rFonts w:ascii="Times New Roman" w:hAnsi="Times New Roman" w:cs="Times New Roman"/>
            <w:szCs w:val="22"/>
          </w:rPr>
          <w:t>[2012] 21 taxmann.com 489/209 Taxman 92 (All.)</w:t>
        </w:r>
      </w:hyperlink>
      <w:r w:rsidRPr="002F101E">
        <w:rPr>
          <w:rFonts w:ascii="Times New Roman" w:hAnsi="Times New Roman" w:cs="Times New Roman"/>
          <w:szCs w:val="22"/>
        </w:rPr>
        <w:t>; PCIT v. </w:t>
      </w:r>
      <w:proofErr w:type="spellStart"/>
      <w:r w:rsidRPr="002F101E">
        <w:rPr>
          <w:rFonts w:ascii="Times New Roman" w:hAnsi="Times New Roman" w:cs="Times New Roman"/>
          <w:szCs w:val="22"/>
        </w:rPr>
        <w:t>Dempo</w:t>
      </w:r>
      <w:proofErr w:type="spellEnd"/>
      <w:r w:rsidRPr="002F101E">
        <w:rPr>
          <w:rFonts w:ascii="Times New Roman" w:hAnsi="Times New Roman" w:cs="Times New Roman"/>
          <w:szCs w:val="22"/>
        </w:rPr>
        <w:t xml:space="preserve"> Industries (P.) Ltd. </w:t>
      </w:r>
      <w:hyperlink r:id="rId15" w:history="1">
        <w:r w:rsidRPr="002F101E">
          <w:rPr>
            <w:rStyle w:val="Hyperlink"/>
            <w:rFonts w:ascii="Times New Roman" w:hAnsi="Times New Roman" w:cs="Times New Roman"/>
            <w:szCs w:val="22"/>
          </w:rPr>
          <w:t>[2021] 126 taxmann.com 112/279 Taxman 166 (Bom.)</w:t>
        </w:r>
      </w:hyperlink>
      <w:r w:rsidRPr="002F101E">
        <w:rPr>
          <w:rFonts w:ascii="Times New Roman" w:hAnsi="Times New Roman" w:cs="Times New Roman"/>
          <w:szCs w:val="22"/>
        </w:rPr>
        <w:t>].</w:t>
      </w:r>
    </w:p>
    <w:p w14:paraId="534B2C2B" w14:textId="7C9C916F" w:rsidR="00C34373" w:rsidRPr="002F101E" w:rsidRDefault="00C34373" w:rsidP="003838AC">
      <w:pPr>
        <w:pStyle w:val="ListParagraph"/>
        <w:numPr>
          <w:ilvl w:val="0"/>
          <w:numId w:val="6"/>
        </w:numPr>
        <w:rPr>
          <w:rFonts w:ascii="Times New Roman" w:hAnsi="Times New Roman" w:cs="Times New Roman"/>
          <w:szCs w:val="22"/>
        </w:rPr>
      </w:pPr>
      <w:r w:rsidRPr="002F101E">
        <w:rPr>
          <w:rFonts w:ascii="Times New Roman" w:hAnsi="Times New Roman" w:cs="Times New Roman"/>
          <w:szCs w:val="22"/>
        </w:rPr>
        <w:t xml:space="preserve">However, in </w:t>
      </w:r>
      <w:r w:rsidRPr="002F101E">
        <w:rPr>
          <w:rFonts w:ascii="Times New Roman" w:hAnsi="Times New Roman" w:cs="Times New Roman"/>
          <w:b/>
          <w:bCs/>
          <w:szCs w:val="22"/>
        </w:rPr>
        <w:t xml:space="preserve">Tube Investments of India Ltd. v. </w:t>
      </w:r>
      <w:proofErr w:type="spellStart"/>
      <w:r w:rsidRPr="002F101E">
        <w:rPr>
          <w:rFonts w:ascii="Times New Roman" w:hAnsi="Times New Roman" w:cs="Times New Roman"/>
          <w:b/>
          <w:bCs/>
          <w:szCs w:val="22"/>
        </w:rPr>
        <w:t>Asstt</w:t>
      </w:r>
      <w:proofErr w:type="spellEnd"/>
      <w:r w:rsidRPr="002F101E">
        <w:rPr>
          <w:rFonts w:ascii="Times New Roman" w:hAnsi="Times New Roman" w:cs="Times New Roman"/>
          <w:b/>
          <w:bCs/>
          <w:szCs w:val="22"/>
        </w:rPr>
        <w:t>. CIT [2009] 223 CTR (Mad.) 99</w:t>
      </w:r>
      <w:r w:rsidRPr="002F101E">
        <w:rPr>
          <w:rFonts w:ascii="Times New Roman" w:hAnsi="Times New Roman" w:cs="Times New Roman"/>
          <w:szCs w:val="22"/>
        </w:rPr>
        <w:t xml:space="preserve">, the Tribunal held that where dealers sold goods at the same price at which they were purchased from the manufacturer, the </w:t>
      </w:r>
      <w:r w:rsidRPr="002F101E">
        <w:rPr>
          <w:rFonts w:ascii="Times New Roman" w:hAnsi="Times New Roman" w:cs="Times New Roman"/>
          <w:b/>
          <w:bCs/>
          <w:szCs w:val="22"/>
        </w:rPr>
        <w:t>trade incentive provided to them constituted commission</w:t>
      </w:r>
      <w:r w:rsidRPr="002F101E">
        <w:rPr>
          <w:rFonts w:ascii="Times New Roman" w:hAnsi="Times New Roman" w:cs="Times New Roman"/>
          <w:szCs w:val="22"/>
        </w:rPr>
        <w:t xml:space="preserve"> within the meaning of Section 194H and was thus subject to TDS</w:t>
      </w:r>
    </w:p>
    <w:p w14:paraId="233A6764" w14:textId="77777777" w:rsidR="00E6406F" w:rsidRPr="002F101E" w:rsidRDefault="00E6406F" w:rsidP="00E6406F">
      <w:pPr>
        <w:pStyle w:val="ListParagraph"/>
        <w:ind w:left="426"/>
        <w:rPr>
          <w:rFonts w:ascii="Times New Roman" w:hAnsi="Times New Roman" w:cs="Times New Roman"/>
          <w:szCs w:val="22"/>
        </w:rPr>
      </w:pPr>
    </w:p>
    <w:p w14:paraId="141476EC" w14:textId="77777777" w:rsidR="00041ECB" w:rsidRPr="002F101E" w:rsidRDefault="00041ECB" w:rsidP="00041ECB">
      <w:pPr>
        <w:pStyle w:val="ListParagraph"/>
        <w:numPr>
          <w:ilvl w:val="1"/>
          <w:numId w:val="1"/>
        </w:numPr>
        <w:ind w:left="426"/>
        <w:rPr>
          <w:rFonts w:ascii="Times New Roman" w:hAnsi="Times New Roman" w:cs="Times New Roman"/>
          <w:szCs w:val="22"/>
        </w:rPr>
      </w:pPr>
      <w:r w:rsidRPr="002F101E">
        <w:rPr>
          <w:rFonts w:ascii="Times New Roman" w:hAnsi="Times New Roman" w:cs="Times New Roman"/>
          <w:b/>
          <w:bCs/>
          <w:szCs w:val="22"/>
        </w:rPr>
        <w:t>Bulk Purchase Discounts:</w:t>
      </w:r>
    </w:p>
    <w:p w14:paraId="7204615A" w14:textId="77777777" w:rsidR="00041ECB" w:rsidRPr="002F101E" w:rsidRDefault="00041ECB" w:rsidP="00041ECB">
      <w:pPr>
        <w:pStyle w:val="ListParagraph"/>
        <w:ind w:left="426"/>
        <w:rPr>
          <w:rFonts w:ascii="Times New Roman" w:hAnsi="Times New Roman" w:cs="Times New Roman"/>
          <w:szCs w:val="22"/>
        </w:rPr>
      </w:pPr>
    </w:p>
    <w:p w14:paraId="70230A42" w14:textId="77777777" w:rsidR="00041ECB" w:rsidRPr="002F101E" w:rsidRDefault="00041ECB" w:rsidP="003838AC">
      <w:pPr>
        <w:pStyle w:val="ListParagraph"/>
        <w:numPr>
          <w:ilvl w:val="0"/>
          <w:numId w:val="7"/>
        </w:numPr>
        <w:rPr>
          <w:rFonts w:ascii="Times New Roman" w:hAnsi="Times New Roman" w:cs="Times New Roman"/>
          <w:szCs w:val="22"/>
        </w:rPr>
      </w:pPr>
      <w:r w:rsidRPr="002F101E">
        <w:rPr>
          <w:rFonts w:ascii="Times New Roman" w:hAnsi="Times New Roman" w:cs="Times New Roman"/>
          <w:szCs w:val="22"/>
        </w:rPr>
        <w:t xml:space="preserve">In </w:t>
      </w:r>
      <w:r w:rsidRPr="002F101E">
        <w:rPr>
          <w:rFonts w:ascii="Times New Roman" w:hAnsi="Times New Roman" w:cs="Times New Roman"/>
          <w:b/>
          <w:bCs/>
          <w:szCs w:val="22"/>
        </w:rPr>
        <w:t>CIT v. Ahmedabad Stamp Vendors Association [2012] 25 taxmann.com 201 (SC)</w:t>
      </w:r>
      <w:r w:rsidRPr="002F101E">
        <w:rPr>
          <w:rFonts w:ascii="Times New Roman" w:hAnsi="Times New Roman" w:cs="Times New Roman"/>
          <w:szCs w:val="22"/>
        </w:rPr>
        <w:t xml:space="preserve">, the Supreme Court held that the </w:t>
      </w:r>
      <w:r w:rsidRPr="002F101E">
        <w:rPr>
          <w:rFonts w:ascii="Times New Roman" w:hAnsi="Times New Roman" w:cs="Times New Roman"/>
          <w:b/>
          <w:bCs/>
          <w:szCs w:val="22"/>
        </w:rPr>
        <w:t xml:space="preserve">discount allowed to stamp vendors on bulk purchases was </w:t>
      </w:r>
      <w:proofErr w:type="gramStart"/>
      <w:r w:rsidRPr="002F101E">
        <w:rPr>
          <w:rFonts w:ascii="Times New Roman" w:hAnsi="Times New Roman" w:cs="Times New Roman"/>
          <w:b/>
          <w:bCs/>
          <w:szCs w:val="22"/>
        </w:rPr>
        <w:t>in the nature of a</w:t>
      </w:r>
      <w:proofErr w:type="gramEnd"/>
      <w:r w:rsidRPr="002F101E">
        <w:rPr>
          <w:rFonts w:ascii="Times New Roman" w:hAnsi="Times New Roman" w:cs="Times New Roman"/>
          <w:b/>
          <w:bCs/>
          <w:szCs w:val="22"/>
        </w:rPr>
        <w:t xml:space="preserve"> cash discount</w:t>
      </w:r>
      <w:r w:rsidRPr="002F101E">
        <w:rPr>
          <w:rFonts w:ascii="Times New Roman" w:hAnsi="Times New Roman" w:cs="Times New Roman"/>
          <w:szCs w:val="22"/>
        </w:rPr>
        <w:t xml:space="preserve"> arising from a principal-to-principal transaction of sale and, therefore, was </w:t>
      </w:r>
      <w:r w:rsidRPr="002F101E">
        <w:rPr>
          <w:rFonts w:ascii="Times New Roman" w:hAnsi="Times New Roman" w:cs="Times New Roman"/>
          <w:b/>
          <w:bCs/>
          <w:szCs w:val="22"/>
        </w:rPr>
        <w:t>not liable to TDS under Section 194H</w:t>
      </w:r>
      <w:r w:rsidRPr="002F101E">
        <w:rPr>
          <w:rFonts w:ascii="Times New Roman" w:hAnsi="Times New Roman" w:cs="Times New Roman"/>
          <w:szCs w:val="22"/>
        </w:rPr>
        <w:t>.</w:t>
      </w:r>
    </w:p>
    <w:p w14:paraId="442175B6" w14:textId="77777777" w:rsidR="00041ECB" w:rsidRPr="002F101E" w:rsidRDefault="00041ECB" w:rsidP="00041ECB">
      <w:pPr>
        <w:pStyle w:val="ListParagraph"/>
        <w:ind w:left="426"/>
        <w:rPr>
          <w:rFonts w:ascii="Times New Roman" w:hAnsi="Times New Roman" w:cs="Times New Roman"/>
          <w:szCs w:val="22"/>
        </w:rPr>
      </w:pPr>
    </w:p>
    <w:p w14:paraId="4439536C" w14:textId="77777777" w:rsidR="00CC1E55" w:rsidRPr="002F101E" w:rsidRDefault="00CC1E55" w:rsidP="00CC1E55">
      <w:pPr>
        <w:pStyle w:val="ListParagraph"/>
        <w:numPr>
          <w:ilvl w:val="1"/>
          <w:numId w:val="1"/>
        </w:numPr>
        <w:ind w:left="426"/>
        <w:rPr>
          <w:rFonts w:ascii="Times New Roman" w:hAnsi="Times New Roman" w:cs="Times New Roman"/>
          <w:szCs w:val="22"/>
        </w:rPr>
      </w:pPr>
      <w:r w:rsidRPr="002F101E">
        <w:rPr>
          <w:rFonts w:ascii="Times New Roman" w:hAnsi="Times New Roman" w:cs="Times New Roman"/>
          <w:b/>
          <w:bCs/>
          <w:szCs w:val="22"/>
        </w:rPr>
        <w:lastRenderedPageBreak/>
        <w:t>Del Credere Agents &amp; Retailer Incentives:</w:t>
      </w:r>
    </w:p>
    <w:p w14:paraId="66421D0A" w14:textId="77777777" w:rsidR="00CC1E55" w:rsidRPr="002F101E" w:rsidRDefault="00CC1E55" w:rsidP="003838AC">
      <w:pPr>
        <w:numPr>
          <w:ilvl w:val="0"/>
          <w:numId w:val="8"/>
        </w:numPr>
        <w:rPr>
          <w:rFonts w:ascii="Times New Roman" w:hAnsi="Times New Roman" w:cs="Times New Roman"/>
          <w:szCs w:val="22"/>
        </w:rPr>
      </w:pPr>
      <w:r w:rsidRPr="002F101E">
        <w:rPr>
          <w:rFonts w:ascii="Times New Roman" w:hAnsi="Times New Roman" w:cs="Times New Roman"/>
          <w:szCs w:val="22"/>
        </w:rPr>
        <w:t xml:space="preserve">In </w:t>
      </w:r>
      <w:r w:rsidRPr="002F101E">
        <w:rPr>
          <w:rFonts w:ascii="Times New Roman" w:hAnsi="Times New Roman" w:cs="Times New Roman"/>
          <w:b/>
          <w:bCs/>
          <w:szCs w:val="22"/>
        </w:rPr>
        <w:t>CIT v. United Breweries Ltd. [2017] 80 taxmann.com 123 (AP &amp; Telangana)</w:t>
      </w:r>
      <w:r w:rsidRPr="002F101E">
        <w:rPr>
          <w:rFonts w:ascii="Times New Roman" w:hAnsi="Times New Roman" w:cs="Times New Roman"/>
          <w:szCs w:val="22"/>
        </w:rPr>
        <w:t xml:space="preserve">, the High Court ruled that </w:t>
      </w:r>
      <w:r w:rsidRPr="002F101E">
        <w:rPr>
          <w:rFonts w:ascii="Times New Roman" w:hAnsi="Times New Roman" w:cs="Times New Roman"/>
          <w:b/>
          <w:bCs/>
          <w:szCs w:val="22"/>
        </w:rPr>
        <w:t xml:space="preserve">trade incentives paid by an </w:t>
      </w:r>
      <w:proofErr w:type="spellStart"/>
      <w:r w:rsidRPr="002F101E">
        <w:rPr>
          <w:rFonts w:ascii="Times New Roman" w:hAnsi="Times New Roman" w:cs="Times New Roman"/>
          <w:b/>
          <w:bCs/>
          <w:szCs w:val="22"/>
        </w:rPr>
        <w:t>assessee</w:t>
      </w:r>
      <w:proofErr w:type="spellEnd"/>
      <w:r w:rsidRPr="002F101E">
        <w:rPr>
          <w:rFonts w:ascii="Times New Roman" w:hAnsi="Times New Roman" w:cs="Times New Roman"/>
          <w:b/>
          <w:bCs/>
          <w:szCs w:val="22"/>
        </w:rPr>
        <w:t xml:space="preserve"> to retailers through del credere agents for boosting sales did not qualify as commission</w:t>
      </w:r>
      <w:r w:rsidRPr="002F101E">
        <w:rPr>
          <w:rFonts w:ascii="Times New Roman" w:hAnsi="Times New Roman" w:cs="Times New Roman"/>
          <w:szCs w:val="22"/>
        </w:rPr>
        <w:t xml:space="preserve"> since there was no principal-agent relationship between the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 xml:space="preserve"> and the retailers. Consequently, TDS under Section 194H was </w:t>
      </w:r>
      <w:r w:rsidRPr="002F101E">
        <w:rPr>
          <w:rFonts w:ascii="Times New Roman" w:hAnsi="Times New Roman" w:cs="Times New Roman"/>
          <w:b/>
          <w:bCs/>
          <w:szCs w:val="22"/>
        </w:rPr>
        <w:t>not applicable</w:t>
      </w:r>
      <w:r w:rsidRPr="002F101E">
        <w:rPr>
          <w:rFonts w:ascii="Times New Roman" w:hAnsi="Times New Roman" w:cs="Times New Roman"/>
          <w:szCs w:val="22"/>
        </w:rPr>
        <w:t>.</w:t>
      </w:r>
    </w:p>
    <w:p w14:paraId="43BEF648" w14:textId="77777777" w:rsidR="002D4FDB" w:rsidRPr="002F101E" w:rsidRDefault="002D4FDB" w:rsidP="00CD1DD6">
      <w:pPr>
        <w:pStyle w:val="ListParagraph"/>
        <w:numPr>
          <w:ilvl w:val="1"/>
          <w:numId w:val="1"/>
        </w:numPr>
        <w:ind w:left="426"/>
        <w:rPr>
          <w:rFonts w:ascii="Times New Roman" w:hAnsi="Times New Roman" w:cs="Times New Roman"/>
          <w:szCs w:val="22"/>
        </w:rPr>
      </w:pPr>
      <w:r w:rsidRPr="002F101E">
        <w:rPr>
          <w:rFonts w:ascii="Times New Roman" w:hAnsi="Times New Roman" w:cs="Times New Roman"/>
          <w:b/>
          <w:bCs/>
          <w:szCs w:val="22"/>
        </w:rPr>
        <w:t>Discounts to Third-Party Collection Centres:</w:t>
      </w:r>
    </w:p>
    <w:p w14:paraId="523B6C53" w14:textId="77777777" w:rsidR="00CD1DD6" w:rsidRPr="002F101E" w:rsidRDefault="00CD1DD6" w:rsidP="00CD1DD6">
      <w:pPr>
        <w:pStyle w:val="ListParagraph"/>
        <w:ind w:left="426"/>
        <w:rPr>
          <w:rFonts w:ascii="Times New Roman" w:hAnsi="Times New Roman" w:cs="Times New Roman"/>
          <w:szCs w:val="22"/>
        </w:rPr>
      </w:pPr>
    </w:p>
    <w:p w14:paraId="0FFAF1BE" w14:textId="77777777" w:rsidR="002D4FDB" w:rsidRPr="002F101E" w:rsidRDefault="002D4FDB" w:rsidP="003838AC">
      <w:pPr>
        <w:pStyle w:val="ListParagraph"/>
        <w:numPr>
          <w:ilvl w:val="0"/>
          <w:numId w:val="9"/>
        </w:numPr>
        <w:rPr>
          <w:rFonts w:ascii="Times New Roman" w:hAnsi="Times New Roman" w:cs="Times New Roman"/>
          <w:szCs w:val="22"/>
        </w:rPr>
      </w:pPr>
      <w:r w:rsidRPr="002F101E">
        <w:rPr>
          <w:rFonts w:ascii="Times New Roman" w:hAnsi="Times New Roman" w:cs="Times New Roman"/>
          <w:szCs w:val="22"/>
        </w:rPr>
        <w:t xml:space="preserve">In </w:t>
      </w:r>
      <w:r w:rsidRPr="002F101E">
        <w:rPr>
          <w:rFonts w:ascii="Times New Roman" w:hAnsi="Times New Roman" w:cs="Times New Roman"/>
          <w:b/>
          <w:bCs/>
          <w:szCs w:val="22"/>
        </w:rPr>
        <w:t xml:space="preserve">CIT v. Super </w:t>
      </w:r>
      <w:proofErr w:type="spellStart"/>
      <w:r w:rsidRPr="002F101E">
        <w:rPr>
          <w:rFonts w:ascii="Times New Roman" w:hAnsi="Times New Roman" w:cs="Times New Roman"/>
          <w:b/>
          <w:bCs/>
          <w:szCs w:val="22"/>
        </w:rPr>
        <w:t>Religare</w:t>
      </w:r>
      <w:proofErr w:type="spellEnd"/>
      <w:r w:rsidRPr="002F101E">
        <w:rPr>
          <w:rFonts w:ascii="Times New Roman" w:hAnsi="Times New Roman" w:cs="Times New Roman"/>
          <w:b/>
          <w:bCs/>
          <w:szCs w:val="22"/>
        </w:rPr>
        <w:t xml:space="preserve"> Laboratories Ltd. [2021] 133 taxmann.com 313 (Bom.)</w:t>
      </w:r>
      <w:r w:rsidRPr="002F101E">
        <w:rPr>
          <w:rFonts w:ascii="Times New Roman" w:hAnsi="Times New Roman" w:cs="Times New Roman"/>
          <w:szCs w:val="22"/>
        </w:rPr>
        <w:t xml:space="preserve">, the Bombay High Court held that where an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 xml:space="preserve"> engaged in laboratory and testing services </w:t>
      </w:r>
      <w:r w:rsidRPr="002F101E">
        <w:rPr>
          <w:rFonts w:ascii="Times New Roman" w:hAnsi="Times New Roman" w:cs="Times New Roman"/>
          <w:b/>
          <w:bCs/>
          <w:szCs w:val="22"/>
        </w:rPr>
        <w:t>allowed discounts to third-party collection centres</w:t>
      </w:r>
      <w:r w:rsidRPr="002F101E">
        <w:rPr>
          <w:rFonts w:ascii="Times New Roman" w:hAnsi="Times New Roman" w:cs="Times New Roman"/>
          <w:szCs w:val="22"/>
        </w:rPr>
        <w:t xml:space="preserve">, but did not make direct payments to them, </w:t>
      </w:r>
      <w:r w:rsidRPr="002F101E">
        <w:rPr>
          <w:rFonts w:ascii="Times New Roman" w:hAnsi="Times New Roman" w:cs="Times New Roman"/>
          <w:b/>
          <w:bCs/>
          <w:szCs w:val="22"/>
        </w:rPr>
        <w:t>there was no TDS obligation under Section 194H</w:t>
      </w:r>
      <w:r w:rsidRPr="002F101E">
        <w:rPr>
          <w:rFonts w:ascii="Times New Roman" w:hAnsi="Times New Roman" w:cs="Times New Roman"/>
          <w:szCs w:val="22"/>
        </w:rPr>
        <w:t xml:space="preserve">. The Supreme Court later issued an </w:t>
      </w:r>
      <w:r w:rsidRPr="002F101E">
        <w:rPr>
          <w:rFonts w:ascii="Times New Roman" w:hAnsi="Times New Roman" w:cs="Times New Roman"/>
          <w:b/>
          <w:bCs/>
          <w:szCs w:val="22"/>
        </w:rPr>
        <w:t xml:space="preserve">SLP notice in CIT v. Super </w:t>
      </w:r>
      <w:proofErr w:type="spellStart"/>
      <w:r w:rsidRPr="002F101E">
        <w:rPr>
          <w:rFonts w:ascii="Times New Roman" w:hAnsi="Times New Roman" w:cs="Times New Roman"/>
          <w:b/>
          <w:bCs/>
          <w:szCs w:val="22"/>
        </w:rPr>
        <w:t>Religare</w:t>
      </w:r>
      <w:proofErr w:type="spellEnd"/>
      <w:r w:rsidRPr="002F101E">
        <w:rPr>
          <w:rFonts w:ascii="Times New Roman" w:hAnsi="Times New Roman" w:cs="Times New Roman"/>
          <w:b/>
          <w:bCs/>
          <w:szCs w:val="22"/>
        </w:rPr>
        <w:t xml:space="preserve"> Laboratories Ltd. [2022] 139 taxmann.com 369 (SC)</w:t>
      </w:r>
      <w:r w:rsidRPr="002F101E">
        <w:rPr>
          <w:rFonts w:ascii="Times New Roman" w:hAnsi="Times New Roman" w:cs="Times New Roman"/>
          <w:szCs w:val="22"/>
        </w:rPr>
        <w:t>, keeping the matter open for further consideration.</w:t>
      </w:r>
    </w:p>
    <w:p w14:paraId="2F984E6F" w14:textId="77777777" w:rsidR="002D4FDB" w:rsidRPr="002F101E" w:rsidRDefault="002D4FDB" w:rsidP="002D4FDB">
      <w:pPr>
        <w:pStyle w:val="ListParagraph"/>
        <w:ind w:left="426"/>
        <w:rPr>
          <w:rFonts w:ascii="Times New Roman" w:hAnsi="Times New Roman" w:cs="Times New Roman"/>
          <w:szCs w:val="22"/>
        </w:rPr>
      </w:pPr>
    </w:p>
    <w:p w14:paraId="22BF0C23" w14:textId="77777777" w:rsidR="00811A17" w:rsidRPr="002F101E" w:rsidRDefault="00811A17" w:rsidP="00811A17">
      <w:pPr>
        <w:pStyle w:val="ListParagraph"/>
        <w:numPr>
          <w:ilvl w:val="1"/>
          <w:numId w:val="1"/>
        </w:numPr>
        <w:ind w:left="426"/>
        <w:rPr>
          <w:rFonts w:ascii="Times New Roman" w:hAnsi="Times New Roman" w:cs="Times New Roman"/>
          <w:szCs w:val="22"/>
        </w:rPr>
      </w:pPr>
      <w:r w:rsidRPr="002F101E">
        <w:rPr>
          <w:rFonts w:ascii="Times New Roman" w:hAnsi="Times New Roman" w:cs="Times New Roman"/>
          <w:b/>
          <w:bCs/>
          <w:szCs w:val="22"/>
        </w:rPr>
        <w:t>Principal-agent relationship -</w:t>
      </w:r>
      <w:r w:rsidRPr="002F101E">
        <w:rPr>
          <w:rFonts w:ascii="Times New Roman" w:hAnsi="Times New Roman" w:cs="Times New Roman"/>
          <w:szCs w:val="22"/>
        </w:rPr>
        <w:t>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 xml:space="preserve"> had appointed </w:t>
      </w:r>
      <w:proofErr w:type="gramStart"/>
      <w:r w:rsidRPr="002F101E">
        <w:rPr>
          <w:rFonts w:ascii="Times New Roman" w:hAnsi="Times New Roman" w:cs="Times New Roman"/>
          <w:szCs w:val="22"/>
        </w:rPr>
        <w:t>a large number of</w:t>
      </w:r>
      <w:proofErr w:type="gramEnd"/>
      <w:r w:rsidRPr="002F101E">
        <w:rPr>
          <w:rFonts w:ascii="Times New Roman" w:hAnsi="Times New Roman" w:cs="Times New Roman"/>
          <w:szCs w:val="22"/>
        </w:rPr>
        <w:t xml:space="preserve"> agents to sell its milk and milk products from booths owned by it. Commission was being paid to agents for milk sold and unsold milk was taken back by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 xml:space="preserve"> at same price. Cash collection was daily handed over to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 xml:space="preserve"> by agents. Since there was principal to agent relationship and, thus,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 xml:space="preserve"> was liable to deduct tax at source on commission paid by it [Delhi Milk Scheme v. CIT </w:t>
      </w:r>
      <w:hyperlink r:id="rId16" w:history="1">
        <w:r w:rsidRPr="002F101E">
          <w:rPr>
            <w:rStyle w:val="Hyperlink"/>
            <w:rFonts w:ascii="Times New Roman" w:hAnsi="Times New Roman" w:cs="Times New Roman"/>
            <w:szCs w:val="22"/>
          </w:rPr>
          <w:t>[2008] 173 Taxman 54 (Delhi)</w:t>
        </w:r>
      </w:hyperlink>
      <w:r w:rsidRPr="002F101E">
        <w:rPr>
          <w:rFonts w:ascii="Times New Roman" w:hAnsi="Times New Roman" w:cs="Times New Roman"/>
          <w:szCs w:val="22"/>
        </w:rPr>
        <w:t>]. </w:t>
      </w:r>
      <w:r w:rsidRPr="002F101E">
        <w:rPr>
          <w:rFonts w:ascii="Times New Roman" w:hAnsi="Times New Roman" w:cs="Times New Roman"/>
          <w:b/>
          <w:bCs/>
          <w:szCs w:val="22"/>
        </w:rPr>
        <w:t>However</w:t>
      </w:r>
      <w:r w:rsidRPr="002F101E">
        <w:rPr>
          <w:rFonts w:ascii="Times New Roman" w:hAnsi="Times New Roman" w:cs="Times New Roman"/>
          <w:szCs w:val="22"/>
        </w:rPr>
        <w:t xml:space="preserve">, commission paid by Mother Dairy to concessionaires who sell milk of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 xml:space="preserve"> from booths owned by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 xml:space="preserve"> not liable to TDS [CIT v. Mother Dairy India Ltd. </w:t>
      </w:r>
      <w:hyperlink r:id="rId17" w:history="1">
        <w:r w:rsidRPr="002F101E">
          <w:rPr>
            <w:rStyle w:val="Hyperlink"/>
            <w:rFonts w:ascii="Times New Roman" w:hAnsi="Times New Roman" w:cs="Times New Roman"/>
            <w:szCs w:val="22"/>
          </w:rPr>
          <w:t>[2012] 18 taxmann.com 49/206 Taxman 157 (Delhi)</w:t>
        </w:r>
      </w:hyperlink>
      <w:r w:rsidRPr="002F101E">
        <w:rPr>
          <w:rFonts w:ascii="Times New Roman" w:hAnsi="Times New Roman" w:cs="Times New Roman"/>
          <w:szCs w:val="22"/>
        </w:rPr>
        <w:t>].</w:t>
      </w:r>
    </w:p>
    <w:p w14:paraId="16415653" w14:textId="77777777" w:rsidR="00811A17" w:rsidRPr="002F101E" w:rsidRDefault="00811A17" w:rsidP="00811A17">
      <w:pPr>
        <w:pStyle w:val="ListParagraph"/>
        <w:ind w:left="426"/>
        <w:rPr>
          <w:rFonts w:ascii="Times New Roman" w:hAnsi="Times New Roman" w:cs="Times New Roman"/>
          <w:szCs w:val="22"/>
        </w:rPr>
      </w:pPr>
    </w:p>
    <w:p w14:paraId="60DDE531" w14:textId="77777777" w:rsidR="00962BB8" w:rsidRDefault="00811A17" w:rsidP="00811A17">
      <w:pPr>
        <w:pStyle w:val="ListParagraph"/>
        <w:numPr>
          <w:ilvl w:val="1"/>
          <w:numId w:val="1"/>
        </w:numPr>
        <w:ind w:left="426"/>
        <w:rPr>
          <w:rFonts w:ascii="Times New Roman" w:hAnsi="Times New Roman" w:cs="Times New Roman"/>
          <w:szCs w:val="22"/>
        </w:rPr>
      </w:pPr>
      <w:r w:rsidRPr="002F101E">
        <w:rPr>
          <w:rFonts w:ascii="Times New Roman" w:hAnsi="Times New Roman" w:cs="Times New Roman"/>
          <w:b/>
          <w:bCs/>
          <w:szCs w:val="22"/>
        </w:rPr>
        <w:t>Principal-to-principal transaction -</w:t>
      </w:r>
      <w:r w:rsidRPr="002F101E">
        <w:rPr>
          <w:rFonts w:ascii="Times New Roman" w:hAnsi="Times New Roman" w:cs="Times New Roman"/>
          <w:szCs w:val="22"/>
        </w:rPr>
        <w:t> </w:t>
      </w:r>
    </w:p>
    <w:p w14:paraId="3BAE6048" w14:textId="77777777" w:rsidR="00962BB8" w:rsidRPr="00962BB8" w:rsidRDefault="00962BB8" w:rsidP="00962BB8">
      <w:pPr>
        <w:pStyle w:val="ListParagraph"/>
        <w:rPr>
          <w:rFonts w:ascii="Times New Roman" w:hAnsi="Times New Roman" w:cs="Times New Roman"/>
          <w:szCs w:val="22"/>
        </w:rPr>
      </w:pPr>
    </w:p>
    <w:p w14:paraId="63996170" w14:textId="1528FF7C" w:rsidR="00811A17" w:rsidRPr="002F101E" w:rsidRDefault="00811A17" w:rsidP="00962BB8">
      <w:pPr>
        <w:pStyle w:val="ListParagraph"/>
        <w:numPr>
          <w:ilvl w:val="0"/>
          <w:numId w:val="10"/>
        </w:numPr>
        <w:rPr>
          <w:rFonts w:ascii="Times New Roman" w:hAnsi="Times New Roman" w:cs="Times New Roman"/>
          <w:szCs w:val="22"/>
        </w:rPr>
      </w:pPr>
      <w:r w:rsidRPr="002F101E">
        <w:rPr>
          <w:rFonts w:ascii="Times New Roman" w:hAnsi="Times New Roman" w:cs="Times New Roman"/>
          <w:szCs w:val="22"/>
        </w:rPr>
        <w:t xml:space="preserve">Where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 xml:space="preserve">-airlines issued tickets to its travel agents at a concessional price, transaction between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 xml:space="preserve"> and travel agents was that of principal-to-principal and difference in price was discount, therefore, such transaction would not fall within the ambit of section 194H [CIT v. Singapore Airlines Ltd. </w:t>
      </w:r>
      <w:hyperlink r:id="rId18" w:history="1">
        <w:r w:rsidRPr="002F101E">
          <w:rPr>
            <w:rStyle w:val="Hyperlink"/>
            <w:rFonts w:ascii="Times New Roman" w:hAnsi="Times New Roman" w:cs="Times New Roman"/>
            <w:szCs w:val="22"/>
          </w:rPr>
          <w:t>[2009] 180 Taxman 128 (Delhi)</w:t>
        </w:r>
      </w:hyperlink>
      <w:r w:rsidRPr="002F101E">
        <w:rPr>
          <w:rFonts w:ascii="Times New Roman" w:hAnsi="Times New Roman" w:cs="Times New Roman"/>
          <w:szCs w:val="22"/>
        </w:rPr>
        <w:t>]. Also see, CIT v. Jai Drinks (P.) Ltd. </w:t>
      </w:r>
      <w:hyperlink r:id="rId19" w:history="1">
        <w:r w:rsidRPr="002F101E">
          <w:rPr>
            <w:rStyle w:val="Hyperlink"/>
            <w:rFonts w:ascii="Times New Roman" w:hAnsi="Times New Roman" w:cs="Times New Roman"/>
            <w:szCs w:val="22"/>
          </w:rPr>
          <w:t>[2011] 10 taxmann.com 115/198 Taxman 271 (Delhi)</w:t>
        </w:r>
      </w:hyperlink>
      <w:r w:rsidRPr="002F101E">
        <w:rPr>
          <w:rFonts w:ascii="Times New Roman" w:hAnsi="Times New Roman" w:cs="Times New Roman"/>
          <w:szCs w:val="22"/>
        </w:rPr>
        <w:t xml:space="preserve">. Where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 xml:space="preserve"> paid target incentives to dealers for increasing sales of its products, since there was no relationship of principal and agent between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 xml:space="preserve"> and distributors,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 xml:space="preserve"> was not required to deduct tax at source u/s 194H while making said payments [PCIT v. Shalimar Chemical Works Ltd. </w:t>
      </w:r>
      <w:hyperlink r:id="rId20" w:history="1">
        <w:r w:rsidRPr="002F101E">
          <w:rPr>
            <w:rStyle w:val="Hyperlink"/>
            <w:rFonts w:ascii="Times New Roman" w:hAnsi="Times New Roman" w:cs="Times New Roman"/>
            <w:szCs w:val="22"/>
          </w:rPr>
          <w:t>[2018] 96 taxmann.com 275/257 Taxman 590 (Cal.)</w:t>
        </w:r>
      </w:hyperlink>
      <w:r w:rsidRPr="002F101E">
        <w:rPr>
          <w:rFonts w:ascii="Times New Roman" w:hAnsi="Times New Roman" w:cs="Times New Roman"/>
          <w:szCs w:val="22"/>
        </w:rPr>
        <w:t>].</w:t>
      </w:r>
    </w:p>
    <w:p w14:paraId="180213D2" w14:textId="77777777" w:rsidR="00811A17" w:rsidRPr="00811A17" w:rsidRDefault="00811A17" w:rsidP="00811A17">
      <w:pPr>
        <w:pStyle w:val="ListParagraph"/>
        <w:ind w:left="426"/>
        <w:rPr>
          <w:rFonts w:ascii="Times New Roman" w:hAnsi="Times New Roman" w:cs="Times New Roman"/>
          <w:szCs w:val="22"/>
        </w:rPr>
      </w:pPr>
    </w:p>
    <w:p w14:paraId="0ACA85E8" w14:textId="77777777" w:rsidR="004F2D4E" w:rsidRPr="002F101E" w:rsidRDefault="004F2D4E" w:rsidP="003838AC">
      <w:pPr>
        <w:pStyle w:val="ListParagraph"/>
        <w:numPr>
          <w:ilvl w:val="0"/>
          <w:numId w:val="10"/>
        </w:numPr>
        <w:rPr>
          <w:rFonts w:ascii="Times New Roman" w:hAnsi="Times New Roman" w:cs="Times New Roman"/>
          <w:szCs w:val="22"/>
        </w:rPr>
      </w:pPr>
      <w:r w:rsidRPr="002F101E">
        <w:rPr>
          <w:rFonts w:ascii="Times New Roman" w:hAnsi="Times New Roman" w:cs="Times New Roman"/>
          <w:szCs w:val="22"/>
        </w:rPr>
        <w:t xml:space="preserve">In </w:t>
      </w:r>
      <w:r w:rsidRPr="002F101E">
        <w:rPr>
          <w:rFonts w:ascii="Times New Roman" w:hAnsi="Times New Roman" w:cs="Times New Roman"/>
          <w:b/>
          <w:bCs/>
          <w:szCs w:val="22"/>
        </w:rPr>
        <w:t>National Panasonic India (P) Ltd. v. DCIT (2005) 94 TTJ 899 (Delhi Tribunal)</w:t>
      </w:r>
      <w:r w:rsidRPr="002F101E">
        <w:rPr>
          <w:rFonts w:ascii="Times New Roman" w:hAnsi="Times New Roman" w:cs="Times New Roman"/>
          <w:szCs w:val="22"/>
        </w:rPr>
        <w:t xml:space="preserve">, the Tribunal examined whether incentives paid to dealers constituted "commission" under Section 194H. The court ruled that since the relationship between the parties was on a </w:t>
      </w:r>
      <w:r w:rsidRPr="002F101E">
        <w:rPr>
          <w:rFonts w:ascii="Times New Roman" w:hAnsi="Times New Roman" w:cs="Times New Roman"/>
          <w:b/>
          <w:bCs/>
          <w:szCs w:val="22"/>
        </w:rPr>
        <w:t>principal-to-principal basis</w:t>
      </w:r>
      <w:r w:rsidRPr="002F101E">
        <w:rPr>
          <w:rFonts w:ascii="Times New Roman" w:hAnsi="Times New Roman" w:cs="Times New Roman"/>
          <w:szCs w:val="22"/>
        </w:rPr>
        <w:t xml:space="preserve">, such payments were </w:t>
      </w:r>
      <w:r w:rsidRPr="002F101E">
        <w:rPr>
          <w:rFonts w:ascii="Times New Roman" w:hAnsi="Times New Roman" w:cs="Times New Roman"/>
          <w:b/>
          <w:bCs/>
          <w:szCs w:val="22"/>
        </w:rPr>
        <w:t>not commission but promotional incentives</w:t>
      </w:r>
      <w:r w:rsidRPr="002F101E">
        <w:rPr>
          <w:rFonts w:ascii="Times New Roman" w:hAnsi="Times New Roman" w:cs="Times New Roman"/>
          <w:szCs w:val="22"/>
        </w:rPr>
        <w:t xml:space="preserve">. The incentive schemes were temporary, sales-driven, and not a permanent feature of the business relationship, meaning TDS under Section 194H was </w:t>
      </w:r>
      <w:r w:rsidRPr="002F101E">
        <w:rPr>
          <w:rFonts w:ascii="Times New Roman" w:hAnsi="Times New Roman" w:cs="Times New Roman"/>
          <w:b/>
          <w:bCs/>
          <w:szCs w:val="22"/>
        </w:rPr>
        <w:t>not applicable</w:t>
      </w:r>
      <w:r w:rsidRPr="002F101E">
        <w:rPr>
          <w:rFonts w:ascii="Times New Roman" w:hAnsi="Times New Roman" w:cs="Times New Roman"/>
          <w:szCs w:val="22"/>
        </w:rPr>
        <w:t>.</w:t>
      </w:r>
    </w:p>
    <w:p w14:paraId="3E307D74" w14:textId="77777777" w:rsidR="00962BB8" w:rsidRDefault="00962BB8" w:rsidP="00962BB8">
      <w:pPr>
        <w:pStyle w:val="ListParagraph"/>
        <w:rPr>
          <w:rFonts w:ascii="Times New Roman" w:hAnsi="Times New Roman" w:cs="Times New Roman"/>
          <w:szCs w:val="22"/>
        </w:rPr>
      </w:pPr>
    </w:p>
    <w:p w14:paraId="167FD5B9" w14:textId="5E214A69" w:rsidR="004F2D4E" w:rsidRPr="002F101E" w:rsidRDefault="004F2D4E" w:rsidP="003838AC">
      <w:pPr>
        <w:pStyle w:val="ListParagraph"/>
        <w:numPr>
          <w:ilvl w:val="0"/>
          <w:numId w:val="10"/>
        </w:numPr>
        <w:rPr>
          <w:rFonts w:ascii="Times New Roman" w:hAnsi="Times New Roman" w:cs="Times New Roman"/>
          <w:szCs w:val="22"/>
        </w:rPr>
      </w:pPr>
      <w:r w:rsidRPr="002F101E">
        <w:rPr>
          <w:rFonts w:ascii="Times New Roman" w:hAnsi="Times New Roman" w:cs="Times New Roman"/>
          <w:szCs w:val="22"/>
        </w:rPr>
        <w:lastRenderedPageBreak/>
        <w:t xml:space="preserve">Similarly, in </w:t>
      </w:r>
      <w:r w:rsidRPr="002F101E">
        <w:rPr>
          <w:rFonts w:ascii="Times New Roman" w:hAnsi="Times New Roman" w:cs="Times New Roman"/>
          <w:b/>
          <w:bCs/>
          <w:szCs w:val="22"/>
        </w:rPr>
        <w:t>Ahmedabad Stamp Vendors Association v. UOI (2012) 82 CCH 210 ISSC</w:t>
      </w:r>
      <w:r w:rsidRPr="002F101E">
        <w:rPr>
          <w:rFonts w:ascii="Times New Roman" w:hAnsi="Times New Roman" w:cs="Times New Roman"/>
          <w:szCs w:val="22"/>
        </w:rPr>
        <w:t xml:space="preserve">, upheld by the Supreme Court, it was held that </w:t>
      </w:r>
      <w:r w:rsidRPr="002F101E">
        <w:rPr>
          <w:rFonts w:ascii="Times New Roman" w:hAnsi="Times New Roman" w:cs="Times New Roman"/>
          <w:b/>
          <w:bCs/>
          <w:szCs w:val="22"/>
        </w:rPr>
        <w:t>to attract TDS under Section 194H, an agency relationship must exist</w:t>
      </w:r>
      <w:r w:rsidRPr="002F101E">
        <w:rPr>
          <w:rFonts w:ascii="Times New Roman" w:hAnsi="Times New Roman" w:cs="Times New Roman"/>
          <w:szCs w:val="22"/>
        </w:rPr>
        <w:t>. A mere discount on pricing by a seller does not amount to commission within the meaning of Section 194H.</w:t>
      </w:r>
    </w:p>
    <w:p w14:paraId="3E4EEF07" w14:textId="77777777" w:rsidR="004F2D4E" w:rsidRPr="002F101E" w:rsidRDefault="004F2D4E" w:rsidP="004F2D4E">
      <w:pPr>
        <w:pStyle w:val="ListParagraph"/>
        <w:ind w:left="426"/>
        <w:rPr>
          <w:rFonts w:ascii="Times New Roman" w:hAnsi="Times New Roman" w:cs="Times New Roman"/>
          <w:szCs w:val="22"/>
        </w:rPr>
      </w:pPr>
    </w:p>
    <w:p w14:paraId="39E1C2C0" w14:textId="320EB02B" w:rsidR="007360CF" w:rsidRPr="002F101E" w:rsidRDefault="00825550" w:rsidP="00A1609F">
      <w:pPr>
        <w:pStyle w:val="ListParagraph"/>
        <w:numPr>
          <w:ilvl w:val="1"/>
          <w:numId w:val="1"/>
        </w:numPr>
        <w:ind w:left="426"/>
        <w:rPr>
          <w:rFonts w:ascii="Times New Roman" w:hAnsi="Times New Roman" w:cs="Times New Roman"/>
          <w:szCs w:val="22"/>
        </w:rPr>
      </w:pPr>
      <w:r w:rsidRPr="002F101E">
        <w:rPr>
          <w:rFonts w:ascii="Times New Roman" w:hAnsi="Times New Roman" w:cs="Times New Roman"/>
          <w:b/>
          <w:bCs/>
          <w:szCs w:val="22"/>
        </w:rPr>
        <w:t>Benefits</w:t>
      </w:r>
      <w:r w:rsidR="00995BFB" w:rsidRPr="002F101E">
        <w:rPr>
          <w:rFonts w:ascii="Times New Roman" w:hAnsi="Times New Roman" w:cs="Times New Roman"/>
          <w:b/>
          <w:bCs/>
          <w:szCs w:val="22"/>
        </w:rPr>
        <w:t xml:space="preserve">/ Perquisites to </w:t>
      </w:r>
      <w:r w:rsidR="00A1609F" w:rsidRPr="002F101E">
        <w:rPr>
          <w:rFonts w:ascii="Times New Roman" w:hAnsi="Times New Roman" w:cs="Times New Roman"/>
          <w:b/>
          <w:bCs/>
          <w:szCs w:val="22"/>
        </w:rPr>
        <w:t>Doctor -</w:t>
      </w:r>
      <w:r w:rsidR="00A1609F" w:rsidRPr="002F101E">
        <w:rPr>
          <w:rFonts w:ascii="Times New Roman" w:hAnsi="Times New Roman" w:cs="Times New Roman"/>
          <w:szCs w:val="22"/>
        </w:rPr>
        <w:t xml:space="preserve"> Where </w:t>
      </w:r>
      <w:proofErr w:type="spellStart"/>
      <w:r w:rsidR="00A1609F" w:rsidRPr="002F101E">
        <w:rPr>
          <w:rFonts w:ascii="Times New Roman" w:hAnsi="Times New Roman" w:cs="Times New Roman"/>
          <w:szCs w:val="22"/>
        </w:rPr>
        <w:t>assessee</w:t>
      </w:r>
      <w:proofErr w:type="spellEnd"/>
      <w:r w:rsidR="00A1609F" w:rsidRPr="002F101E">
        <w:rPr>
          <w:rFonts w:ascii="Times New Roman" w:hAnsi="Times New Roman" w:cs="Times New Roman"/>
          <w:szCs w:val="22"/>
        </w:rPr>
        <w:t xml:space="preserve">-pharmaceutical company incurred expenses for providing services such as taxi services, booking of air-tickets, cost of souvenir, etc., for conferences of doctors, in view of the fact that these doctors were not bound to prescribe medicines as suggested by </w:t>
      </w:r>
      <w:proofErr w:type="spellStart"/>
      <w:r w:rsidR="00A1609F" w:rsidRPr="002F101E">
        <w:rPr>
          <w:rFonts w:ascii="Times New Roman" w:hAnsi="Times New Roman" w:cs="Times New Roman"/>
          <w:szCs w:val="22"/>
        </w:rPr>
        <w:t>assessee</w:t>
      </w:r>
      <w:proofErr w:type="spellEnd"/>
      <w:r w:rsidR="00A1609F" w:rsidRPr="002F101E">
        <w:rPr>
          <w:rFonts w:ascii="Times New Roman" w:hAnsi="Times New Roman" w:cs="Times New Roman"/>
          <w:szCs w:val="22"/>
        </w:rPr>
        <w:t xml:space="preserve"> and, therefore, there existed no agency relationship between </w:t>
      </w:r>
      <w:proofErr w:type="spellStart"/>
      <w:r w:rsidR="00A1609F" w:rsidRPr="002F101E">
        <w:rPr>
          <w:rFonts w:ascii="Times New Roman" w:hAnsi="Times New Roman" w:cs="Times New Roman"/>
          <w:szCs w:val="22"/>
        </w:rPr>
        <w:t>assessee</w:t>
      </w:r>
      <w:proofErr w:type="spellEnd"/>
      <w:r w:rsidR="00A1609F" w:rsidRPr="002F101E">
        <w:rPr>
          <w:rFonts w:ascii="Times New Roman" w:hAnsi="Times New Roman" w:cs="Times New Roman"/>
          <w:szCs w:val="22"/>
        </w:rPr>
        <w:t xml:space="preserve"> and doctors, said expenses incurred by </w:t>
      </w:r>
      <w:proofErr w:type="spellStart"/>
      <w:r w:rsidR="00A1609F" w:rsidRPr="002F101E">
        <w:rPr>
          <w:rFonts w:ascii="Times New Roman" w:hAnsi="Times New Roman" w:cs="Times New Roman"/>
          <w:szCs w:val="22"/>
        </w:rPr>
        <w:t>assessee</w:t>
      </w:r>
      <w:proofErr w:type="spellEnd"/>
      <w:r w:rsidR="00A1609F" w:rsidRPr="002F101E">
        <w:rPr>
          <w:rFonts w:ascii="Times New Roman" w:hAnsi="Times New Roman" w:cs="Times New Roman"/>
          <w:szCs w:val="22"/>
        </w:rPr>
        <w:t xml:space="preserve"> for doctors could not be treated as commission liable to TDS u/s 194H [CIT v. </w:t>
      </w:r>
      <w:proofErr w:type="spellStart"/>
      <w:r w:rsidR="00A1609F" w:rsidRPr="002F101E">
        <w:rPr>
          <w:rFonts w:ascii="Times New Roman" w:hAnsi="Times New Roman" w:cs="Times New Roman"/>
          <w:szCs w:val="22"/>
        </w:rPr>
        <w:t>Intas</w:t>
      </w:r>
      <w:proofErr w:type="spellEnd"/>
      <w:r w:rsidR="00A1609F" w:rsidRPr="002F101E">
        <w:rPr>
          <w:rFonts w:ascii="Times New Roman" w:hAnsi="Times New Roman" w:cs="Times New Roman"/>
          <w:szCs w:val="22"/>
        </w:rPr>
        <w:t xml:space="preserve"> Pharmaceuticals Ltd. </w:t>
      </w:r>
      <w:hyperlink r:id="rId21" w:history="1">
        <w:r w:rsidR="00A1609F" w:rsidRPr="002F101E">
          <w:rPr>
            <w:rStyle w:val="Hyperlink"/>
            <w:rFonts w:ascii="Times New Roman" w:hAnsi="Times New Roman" w:cs="Times New Roman"/>
            <w:szCs w:val="22"/>
          </w:rPr>
          <w:t>[2021] 129 taxmann.com 347/283 Taxman 215 (Guj.)</w:t>
        </w:r>
      </w:hyperlink>
      <w:r w:rsidR="00A1609F" w:rsidRPr="002F101E">
        <w:rPr>
          <w:rFonts w:ascii="Times New Roman" w:hAnsi="Times New Roman" w:cs="Times New Roman"/>
          <w:szCs w:val="22"/>
        </w:rPr>
        <w:t>, SLP notice issued in CIT v. </w:t>
      </w:r>
      <w:proofErr w:type="spellStart"/>
      <w:r w:rsidR="00A1609F" w:rsidRPr="002F101E">
        <w:rPr>
          <w:rFonts w:ascii="Times New Roman" w:hAnsi="Times New Roman" w:cs="Times New Roman"/>
          <w:szCs w:val="22"/>
        </w:rPr>
        <w:t>Intas</w:t>
      </w:r>
      <w:proofErr w:type="spellEnd"/>
      <w:r w:rsidR="00A1609F" w:rsidRPr="002F101E">
        <w:rPr>
          <w:rFonts w:ascii="Times New Roman" w:hAnsi="Times New Roman" w:cs="Times New Roman"/>
          <w:szCs w:val="22"/>
        </w:rPr>
        <w:t xml:space="preserve"> Pharmaceuticals Ltd. </w:t>
      </w:r>
      <w:hyperlink r:id="rId22" w:history="1">
        <w:r w:rsidR="00A1609F" w:rsidRPr="002F101E">
          <w:rPr>
            <w:rStyle w:val="Hyperlink"/>
            <w:rFonts w:ascii="Times New Roman" w:hAnsi="Times New Roman" w:cs="Times New Roman"/>
            <w:szCs w:val="22"/>
          </w:rPr>
          <w:t>[2022] 137 taxmann.com 455/286 Taxman 560 (SC)</w:t>
        </w:r>
      </w:hyperlink>
      <w:r w:rsidR="00A1609F" w:rsidRPr="002F101E">
        <w:rPr>
          <w:rFonts w:ascii="Times New Roman" w:hAnsi="Times New Roman" w:cs="Times New Roman"/>
          <w:szCs w:val="22"/>
        </w:rPr>
        <w:t>].</w:t>
      </w:r>
    </w:p>
    <w:p w14:paraId="0398F240" w14:textId="77777777" w:rsidR="0010459F" w:rsidRPr="002F101E" w:rsidRDefault="0010459F" w:rsidP="0010459F">
      <w:pPr>
        <w:pStyle w:val="ListParagraph"/>
        <w:ind w:left="426"/>
        <w:rPr>
          <w:rFonts w:ascii="Times New Roman" w:hAnsi="Times New Roman" w:cs="Times New Roman"/>
          <w:szCs w:val="22"/>
        </w:rPr>
      </w:pPr>
    </w:p>
    <w:p w14:paraId="520C3529" w14:textId="77777777" w:rsidR="007360CF" w:rsidRPr="002F101E" w:rsidRDefault="00A1609F" w:rsidP="00A1609F">
      <w:pPr>
        <w:pStyle w:val="ListParagraph"/>
        <w:numPr>
          <w:ilvl w:val="1"/>
          <w:numId w:val="1"/>
        </w:numPr>
        <w:ind w:left="426"/>
        <w:rPr>
          <w:rFonts w:ascii="Times New Roman" w:hAnsi="Times New Roman" w:cs="Times New Roman"/>
          <w:szCs w:val="22"/>
        </w:rPr>
      </w:pPr>
      <w:r w:rsidRPr="002F101E">
        <w:rPr>
          <w:rFonts w:ascii="Times New Roman" w:hAnsi="Times New Roman" w:cs="Times New Roman"/>
          <w:b/>
          <w:bCs/>
          <w:szCs w:val="22"/>
        </w:rPr>
        <w:t>Guarantee commission -</w:t>
      </w:r>
      <w:r w:rsidRPr="002F101E">
        <w:rPr>
          <w:rFonts w:ascii="Times New Roman" w:hAnsi="Times New Roman" w:cs="Times New Roman"/>
          <w:szCs w:val="22"/>
        </w:rPr>
        <w:t xml:space="preserve"> Payment of </w:t>
      </w:r>
      <w:proofErr w:type="gramStart"/>
      <w:r w:rsidRPr="002F101E">
        <w:rPr>
          <w:rFonts w:ascii="Times New Roman" w:hAnsi="Times New Roman" w:cs="Times New Roman"/>
          <w:szCs w:val="22"/>
        </w:rPr>
        <w:t>guarantee</w:t>
      </w:r>
      <w:proofErr w:type="gramEnd"/>
      <w:r w:rsidRPr="002F101E">
        <w:rPr>
          <w:rFonts w:ascii="Times New Roman" w:hAnsi="Times New Roman" w:cs="Times New Roman"/>
          <w:szCs w:val="22"/>
        </w:rPr>
        <w:t xml:space="preserve"> commission made by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 xml:space="preserve"> to banks was not covered under 'commission or brokerage' [CIT v. Nimbus Communications Ltd. </w:t>
      </w:r>
      <w:hyperlink r:id="rId23" w:history="1">
        <w:r w:rsidRPr="002F101E">
          <w:rPr>
            <w:rStyle w:val="Hyperlink"/>
            <w:rFonts w:ascii="Times New Roman" w:hAnsi="Times New Roman" w:cs="Times New Roman"/>
            <w:szCs w:val="22"/>
          </w:rPr>
          <w:t>[2019] 109 taxmann.com 498/266 Taxman 375 (SC)</w:t>
        </w:r>
      </w:hyperlink>
      <w:r w:rsidRPr="002F101E">
        <w:rPr>
          <w:rFonts w:ascii="Times New Roman" w:hAnsi="Times New Roman" w:cs="Times New Roman"/>
          <w:szCs w:val="22"/>
        </w:rPr>
        <w:t>].</w:t>
      </w:r>
    </w:p>
    <w:p w14:paraId="431716E9" w14:textId="77777777" w:rsidR="00995BFB" w:rsidRPr="002F101E" w:rsidRDefault="00995BFB" w:rsidP="00995BFB">
      <w:pPr>
        <w:pStyle w:val="ListParagraph"/>
        <w:ind w:left="426"/>
        <w:rPr>
          <w:rFonts w:ascii="Times New Roman" w:hAnsi="Times New Roman" w:cs="Times New Roman"/>
          <w:szCs w:val="22"/>
        </w:rPr>
      </w:pPr>
    </w:p>
    <w:p w14:paraId="238C8E8F" w14:textId="78893730" w:rsidR="007360CF" w:rsidRPr="002F101E" w:rsidRDefault="00A1609F" w:rsidP="00A1609F">
      <w:pPr>
        <w:pStyle w:val="ListParagraph"/>
        <w:numPr>
          <w:ilvl w:val="1"/>
          <w:numId w:val="1"/>
        </w:numPr>
        <w:ind w:left="426"/>
        <w:rPr>
          <w:rFonts w:ascii="Times New Roman" w:hAnsi="Times New Roman" w:cs="Times New Roman"/>
          <w:szCs w:val="22"/>
        </w:rPr>
      </w:pPr>
      <w:r w:rsidRPr="002F101E">
        <w:rPr>
          <w:rFonts w:ascii="Times New Roman" w:hAnsi="Times New Roman" w:cs="Times New Roman"/>
          <w:b/>
          <w:bCs/>
          <w:szCs w:val="22"/>
        </w:rPr>
        <w:t>Payment gateway facility charges -</w:t>
      </w:r>
      <w:r w:rsidRPr="002F101E">
        <w:rPr>
          <w:rFonts w:ascii="Times New Roman" w:hAnsi="Times New Roman" w:cs="Times New Roman"/>
          <w:szCs w:val="22"/>
        </w:rPr>
        <w:t xml:space="preserve"> Where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 which was selling travel products, paid fees to banks for providing payment gateway facility, same could not be treated as commission or brokerage, hence, not liable to tax u/s 194H [PCIT v. Make My Trip India (P.) Ltd. </w:t>
      </w:r>
      <w:hyperlink r:id="rId24" w:history="1">
        <w:r w:rsidRPr="002F101E">
          <w:rPr>
            <w:rStyle w:val="Hyperlink"/>
            <w:rFonts w:ascii="Times New Roman" w:hAnsi="Times New Roman" w:cs="Times New Roman"/>
            <w:szCs w:val="22"/>
          </w:rPr>
          <w:t>[2019] 104 taxmann.com 263/263 Taxman 271 (Delhi)</w:t>
        </w:r>
      </w:hyperlink>
      <w:r w:rsidRPr="002F101E">
        <w:rPr>
          <w:rFonts w:ascii="Times New Roman" w:hAnsi="Times New Roman" w:cs="Times New Roman"/>
          <w:szCs w:val="22"/>
        </w:rPr>
        <w:t>].</w:t>
      </w:r>
      <w:r w:rsidR="007360CF" w:rsidRPr="002F101E">
        <w:rPr>
          <w:rFonts w:ascii="Times New Roman" w:hAnsi="Times New Roman" w:cs="Times New Roman"/>
          <w:szCs w:val="22"/>
        </w:rPr>
        <w:t xml:space="preserve"> </w:t>
      </w:r>
      <w:r w:rsidRPr="002F101E">
        <w:rPr>
          <w:rFonts w:ascii="Times New Roman" w:hAnsi="Times New Roman" w:cs="Times New Roman"/>
          <w:szCs w:val="22"/>
        </w:rPr>
        <w:t xml:space="preserve">Service charges paid by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 xml:space="preserve"> bank to National Financial Switch and Cash Tree for routing transactions of payments made by customers of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-bank to acquiring bank would not be liable to TDS deduction u/s 194H [CIT v. Corporation Bank </w:t>
      </w:r>
      <w:hyperlink r:id="rId25" w:history="1">
        <w:r w:rsidRPr="002F101E">
          <w:rPr>
            <w:rStyle w:val="Hyperlink"/>
            <w:rFonts w:ascii="Times New Roman" w:hAnsi="Times New Roman" w:cs="Times New Roman"/>
            <w:szCs w:val="22"/>
          </w:rPr>
          <w:t>[2021] 123 taxmann.com 204/277 Taxman 207 (Kar.)</w:t>
        </w:r>
      </w:hyperlink>
      <w:r w:rsidRPr="002F101E">
        <w:rPr>
          <w:rFonts w:ascii="Times New Roman" w:hAnsi="Times New Roman" w:cs="Times New Roman"/>
          <w:szCs w:val="22"/>
        </w:rPr>
        <w:t>; CIT v. Karnataka Bank Ltd. [2022] 142 taxmann.com 64 (Karn.), </w:t>
      </w:r>
      <w:r w:rsidRPr="002F101E">
        <w:rPr>
          <w:rFonts w:ascii="Times New Roman" w:hAnsi="Times New Roman" w:cs="Times New Roman"/>
          <w:b/>
          <w:bCs/>
          <w:szCs w:val="22"/>
        </w:rPr>
        <w:t>SLP granted in</w:t>
      </w:r>
      <w:r w:rsidRPr="002F101E">
        <w:rPr>
          <w:rFonts w:ascii="Times New Roman" w:hAnsi="Times New Roman" w:cs="Times New Roman"/>
          <w:szCs w:val="22"/>
        </w:rPr>
        <w:t> CIT v. Karnataka Bank Ltd. </w:t>
      </w:r>
      <w:hyperlink r:id="rId26" w:history="1">
        <w:r w:rsidRPr="002F101E">
          <w:rPr>
            <w:rStyle w:val="Hyperlink"/>
            <w:rFonts w:ascii="Times New Roman" w:hAnsi="Times New Roman" w:cs="Times New Roman"/>
            <w:szCs w:val="22"/>
          </w:rPr>
          <w:t>[2022] 142 taxmann.com 65/288 Taxman 725 (SC)</w:t>
        </w:r>
      </w:hyperlink>
      <w:r w:rsidRPr="002F101E">
        <w:rPr>
          <w:rFonts w:ascii="Times New Roman" w:hAnsi="Times New Roman" w:cs="Times New Roman"/>
          <w:szCs w:val="22"/>
        </w:rPr>
        <w:t>].</w:t>
      </w:r>
    </w:p>
    <w:p w14:paraId="4979FA1E" w14:textId="77777777" w:rsidR="00995BFB" w:rsidRPr="002F101E" w:rsidRDefault="00995BFB" w:rsidP="00995BFB">
      <w:pPr>
        <w:pStyle w:val="ListParagraph"/>
        <w:ind w:left="426"/>
        <w:rPr>
          <w:rFonts w:ascii="Times New Roman" w:hAnsi="Times New Roman" w:cs="Times New Roman"/>
          <w:szCs w:val="22"/>
        </w:rPr>
      </w:pPr>
    </w:p>
    <w:p w14:paraId="3693FE58" w14:textId="12A8882D" w:rsidR="007360CF" w:rsidRPr="002F101E" w:rsidRDefault="00A1609F" w:rsidP="00A1609F">
      <w:pPr>
        <w:pStyle w:val="ListParagraph"/>
        <w:numPr>
          <w:ilvl w:val="1"/>
          <w:numId w:val="1"/>
        </w:numPr>
        <w:ind w:left="426"/>
        <w:rPr>
          <w:rFonts w:ascii="Times New Roman" w:hAnsi="Times New Roman" w:cs="Times New Roman"/>
          <w:szCs w:val="22"/>
        </w:rPr>
      </w:pPr>
      <w:r w:rsidRPr="002F101E">
        <w:rPr>
          <w:rFonts w:ascii="Times New Roman" w:hAnsi="Times New Roman" w:cs="Times New Roman"/>
          <w:b/>
          <w:bCs/>
          <w:szCs w:val="22"/>
        </w:rPr>
        <w:t xml:space="preserve">Reimbursement </w:t>
      </w:r>
      <w:r w:rsidR="00E96350" w:rsidRPr="002F101E">
        <w:rPr>
          <w:rFonts w:ascii="Times New Roman" w:hAnsi="Times New Roman" w:cs="Times New Roman"/>
          <w:b/>
          <w:bCs/>
          <w:szCs w:val="22"/>
        </w:rPr>
        <w:t>of commission expenses</w:t>
      </w:r>
      <w:r w:rsidRPr="002F101E">
        <w:rPr>
          <w:rFonts w:ascii="Times New Roman" w:hAnsi="Times New Roman" w:cs="Times New Roman"/>
          <w:b/>
          <w:bCs/>
          <w:szCs w:val="22"/>
        </w:rPr>
        <w:t>-</w:t>
      </w:r>
      <w:r w:rsidRPr="002F101E">
        <w:rPr>
          <w:rFonts w:ascii="Times New Roman" w:hAnsi="Times New Roman" w:cs="Times New Roman"/>
          <w:szCs w:val="22"/>
        </w:rPr>
        <w:t xml:space="preserve"> Tax is not to be deducted u/s 194H on reimbursement of commission expenses which was paid by another company on behalf of </w:t>
      </w:r>
      <w:proofErr w:type="spellStart"/>
      <w:r w:rsidRPr="002F101E">
        <w:rPr>
          <w:rFonts w:ascii="Times New Roman" w:hAnsi="Times New Roman" w:cs="Times New Roman"/>
          <w:szCs w:val="22"/>
        </w:rPr>
        <w:t>assessee</w:t>
      </w:r>
      <w:proofErr w:type="spellEnd"/>
      <w:r w:rsidRPr="002F101E">
        <w:rPr>
          <w:rFonts w:ascii="Times New Roman" w:hAnsi="Times New Roman" w:cs="Times New Roman"/>
          <w:szCs w:val="22"/>
        </w:rPr>
        <w:t xml:space="preserve"> [CIT v. Zee Entertainment Enterprises Ltd. </w:t>
      </w:r>
      <w:hyperlink r:id="rId27" w:history="1">
        <w:r w:rsidRPr="002F101E">
          <w:rPr>
            <w:rStyle w:val="Hyperlink"/>
            <w:rFonts w:ascii="Times New Roman" w:hAnsi="Times New Roman" w:cs="Times New Roman"/>
            <w:szCs w:val="22"/>
          </w:rPr>
          <w:t>[2018] 92 taxmann.com 30/254 Taxman 370 (Bom.)</w:t>
        </w:r>
      </w:hyperlink>
      <w:r w:rsidRPr="002F101E">
        <w:rPr>
          <w:rFonts w:ascii="Times New Roman" w:hAnsi="Times New Roman" w:cs="Times New Roman"/>
          <w:szCs w:val="22"/>
        </w:rPr>
        <w:t>, </w:t>
      </w:r>
      <w:r w:rsidRPr="002F101E">
        <w:rPr>
          <w:rFonts w:ascii="Times New Roman" w:hAnsi="Times New Roman" w:cs="Times New Roman"/>
          <w:b/>
          <w:bCs/>
          <w:szCs w:val="22"/>
        </w:rPr>
        <w:t>SLP dismissed in</w:t>
      </w:r>
      <w:r w:rsidRPr="002F101E">
        <w:rPr>
          <w:rFonts w:ascii="Times New Roman" w:hAnsi="Times New Roman" w:cs="Times New Roman"/>
          <w:szCs w:val="22"/>
        </w:rPr>
        <w:t> CIT v. Zee Entertainment Enterprises Ltd. </w:t>
      </w:r>
      <w:hyperlink r:id="rId28" w:history="1">
        <w:r w:rsidRPr="002F101E">
          <w:rPr>
            <w:rStyle w:val="Hyperlink"/>
            <w:rFonts w:ascii="Times New Roman" w:hAnsi="Times New Roman" w:cs="Times New Roman"/>
            <w:szCs w:val="22"/>
          </w:rPr>
          <w:t>[2020] 114 taxmann.com 533/269 Taxman 569 (SC)</w:t>
        </w:r>
      </w:hyperlink>
      <w:r w:rsidRPr="002F101E">
        <w:rPr>
          <w:rFonts w:ascii="Times New Roman" w:hAnsi="Times New Roman" w:cs="Times New Roman"/>
          <w:szCs w:val="22"/>
        </w:rPr>
        <w:t>].</w:t>
      </w:r>
    </w:p>
    <w:p w14:paraId="4872DF9B" w14:textId="77777777" w:rsidR="00995BFB" w:rsidRPr="002F101E" w:rsidRDefault="00995BFB" w:rsidP="00995BFB">
      <w:pPr>
        <w:pStyle w:val="ListParagraph"/>
        <w:ind w:left="426"/>
        <w:rPr>
          <w:rFonts w:ascii="Times New Roman" w:hAnsi="Times New Roman" w:cs="Times New Roman"/>
          <w:szCs w:val="22"/>
        </w:rPr>
      </w:pPr>
    </w:p>
    <w:p w14:paraId="3E4BD91A" w14:textId="5A494008" w:rsidR="007B0FEF" w:rsidRPr="002F101E" w:rsidRDefault="00E96350" w:rsidP="007B0FEF">
      <w:pPr>
        <w:pStyle w:val="ListParagraph"/>
        <w:numPr>
          <w:ilvl w:val="1"/>
          <w:numId w:val="1"/>
        </w:numPr>
        <w:ind w:left="426"/>
        <w:rPr>
          <w:rFonts w:ascii="Times New Roman" w:hAnsi="Times New Roman" w:cs="Times New Roman"/>
          <w:szCs w:val="22"/>
        </w:rPr>
      </w:pPr>
      <w:r w:rsidRPr="002F101E">
        <w:rPr>
          <w:rFonts w:ascii="Times New Roman" w:hAnsi="Times New Roman" w:cs="Times New Roman"/>
          <w:b/>
          <w:bCs/>
          <w:szCs w:val="22"/>
        </w:rPr>
        <w:t>Discount</w:t>
      </w:r>
      <w:r w:rsidR="00A1609F" w:rsidRPr="002F101E">
        <w:rPr>
          <w:rFonts w:ascii="Times New Roman" w:hAnsi="Times New Roman" w:cs="Times New Roman"/>
          <w:b/>
          <w:bCs/>
          <w:szCs w:val="22"/>
        </w:rPr>
        <w:t xml:space="preserve"> coupons</w:t>
      </w:r>
      <w:r w:rsidRPr="002F101E">
        <w:rPr>
          <w:rFonts w:ascii="Times New Roman" w:hAnsi="Times New Roman" w:cs="Times New Roman"/>
          <w:b/>
          <w:bCs/>
          <w:szCs w:val="22"/>
        </w:rPr>
        <w:t>/ Rechar</w:t>
      </w:r>
      <w:r w:rsidR="003838AC" w:rsidRPr="002F101E">
        <w:rPr>
          <w:rFonts w:ascii="Times New Roman" w:hAnsi="Times New Roman" w:cs="Times New Roman"/>
          <w:b/>
          <w:bCs/>
          <w:szCs w:val="22"/>
        </w:rPr>
        <w:t>ge coupons</w:t>
      </w:r>
      <w:r w:rsidR="00A1609F" w:rsidRPr="002F101E">
        <w:rPr>
          <w:rFonts w:ascii="Times New Roman" w:hAnsi="Times New Roman" w:cs="Times New Roman"/>
          <w:b/>
          <w:bCs/>
          <w:szCs w:val="22"/>
        </w:rPr>
        <w:t xml:space="preserve"> -</w:t>
      </w:r>
      <w:r w:rsidR="00A1609F" w:rsidRPr="002F101E">
        <w:rPr>
          <w:rFonts w:ascii="Times New Roman" w:hAnsi="Times New Roman" w:cs="Times New Roman"/>
          <w:szCs w:val="22"/>
        </w:rPr>
        <w:t> Sale of SIM cards/recharge coupons at discounted rate to distributors is not commission and, therefore, not liable to TDS u/s 194H [CIT v. Idea Cellular Ltd. [2021] 125 taxmann.com 171 (Bom.), </w:t>
      </w:r>
      <w:r w:rsidR="00A1609F" w:rsidRPr="002F101E">
        <w:rPr>
          <w:rFonts w:ascii="Times New Roman" w:hAnsi="Times New Roman" w:cs="Times New Roman"/>
          <w:b/>
          <w:bCs/>
          <w:szCs w:val="22"/>
        </w:rPr>
        <w:t>SLP granted in</w:t>
      </w:r>
      <w:r w:rsidR="00A1609F" w:rsidRPr="002F101E">
        <w:rPr>
          <w:rFonts w:ascii="Times New Roman" w:hAnsi="Times New Roman" w:cs="Times New Roman"/>
          <w:szCs w:val="22"/>
        </w:rPr>
        <w:t> CIT v. Idea Cellular Ltd. </w:t>
      </w:r>
      <w:hyperlink r:id="rId29" w:history="1">
        <w:r w:rsidR="00A1609F" w:rsidRPr="002F101E">
          <w:rPr>
            <w:rStyle w:val="Hyperlink"/>
            <w:rFonts w:ascii="Times New Roman" w:hAnsi="Times New Roman" w:cs="Times New Roman"/>
            <w:szCs w:val="22"/>
          </w:rPr>
          <w:t>[2021] 125 taxmann.com 172/278 Taxman 188 (SC)</w:t>
        </w:r>
      </w:hyperlink>
      <w:r w:rsidR="00A1609F" w:rsidRPr="002F101E">
        <w:rPr>
          <w:rFonts w:ascii="Times New Roman" w:hAnsi="Times New Roman" w:cs="Times New Roman"/>
          <w:szCs w:val="22"/>
        </w:rPr>
        <w:t>; CIT v. Vodafone Cellular Ltd. [2021] 131 taxmann.com 191 (Bom.); </w:t>
      </w:r>
      <w:r w:rsidR="00A1609F" w:rsidRPr="002F101E">
        <w:rPr>
          <w:rFonts w:ascii="Times New Roman" w:hAnsi="Times New Roman" w:cs="Times New Roman"/>
          <w:b/>
          <w:bCs/>
          <w:szCs w:val="22"/>
        </w:rPr>
        <w:t>SLP granted in</w:t>
      </w:r>
      <w:r w:rsidR="00A1609F" w:rsidRPr="002F101E">
        <w:rPr>
          <w:rFonts w:ascii="Times New Roman" w:hAnsi="Times New Roman" w:cs="Times New Roman"/>
          <w:szCs w:val="22"/>
        </w:rPr>
        <w:t> CIT v. Vodafone Cellular Ltd. </w:t>
      </w:r>
      <w:hyperlink r:id="rId30" w:history="1">
        <w:r w:rsidR="00A1609F" w:rsidRPr="002F101E">
          <w:rPr>
            <w:rStyle w:val="Hyperlink"/>
            <w:rFonts w:ascii="Times New Roman" w:hAnsi="Times New Roman" w:cs="Times New Roman"/>
            <w:szCs w:val="22"/>
          </w:rPr>
          <w:t>[2023] 146 taxmann.com 282 (SC)</w:t>
        </w:r>
      </w:hyperlink>
      <w:r w:rsidR="00A1609F" w:rsidRPr="002F101E">
        <w:rPr>
          <w:rFonts w:ascii="Times New Roman" w:hAnsi="Times New Roman" w:cs="Times New Roman"/>
          <w:szCs w:val="22"/>
        </w:rPr>
        <w:t>]. </w:t>
      </w:r>
      <w:r w:rsidR="00A1609F" w:rsidRPr="002F101E">
        <w:rPr>
          <w:rFonts w:ascii="Times New Roman" w:hAnsi="Times New Roman" w:cs="Times New Roman"/>
          <w:b/>
          <w:bCs/>
          <w:szCs w:val="22"/>
        </w:rPr>
        <w:t>However</w:t>
      </w:r>
      <w:r w:rsidR="00A1609F" w:rsidRPr="002F101E">
        <w:rPr>
          <w:rFonts w:ascii="Times New Roman" w:hAnsi="Times New Roman" w:cs="Times New Roman"/>
          <w:szCs w:val="22"/>
        </w:rPr>
        <w:t xml:space="preserve">, in CIT v. Idea Cellular Ltd. [2010] 189 Taxman 118 (Delhi), it has been held that discount given by </w:t>
      </w:r>
      <w:proofErr w:type="spellStart"/>
      <w:r w:rsidR="00A1609F" w:rsidRPr="002F101E">
        <w:rPr>
          <w:rFonts w:ascii="Times New Roman" w:hAnsi="Times New Roman" w:cs="Times New Roman"/>
          <w:szCs w:val="22"/>
        </w:rPr>
        <w:t>assessee</w:t>
      </w:r>
      <w:proofErr w:type="spellEnd"/>
      <w:r w:rsidR="00A1609F" w:rsidRPr="002F101E">
        <w:rPr>
          <w:rFonts w:ascii="Times New Roman" w:hAnsi="Times New Roman" w:cs="Times New Roman"/>
          <w:szCs w:val="22"/>
        </w:rPr>
        <w:t xml:space="preserve">, a mobile cellular operator, to distributors in course of selling of sim cards and recharge coupons under prepaid scheme of getting a connection is, in substance, a payment for services to be rendered by distributors to </w:t>
      </w:r>
      <w:proofErr w:type="spellStart"/>
      <w:r w:rsidR="00A1609F" w:rsidRPr="002F101E">
        <w:rPr>
          <w:rFonts w:ascii="Times New Roman" w:hAnsi="Times New Roman" w:cs="Times New Roman"/>
          <w:szCs w:val="22"/>
        </w:rPr>
        <w:t>assessee</w:t>
      </w:r>
      <w:proofErr w:type="spellEnd"/>
      <w:r w:rsidR="00A1609F" w:rsidRPr="002F101E">
        <w:rPr>
          <w:rFonts w:ascii="Times New Roman" w:hAnsi="Times New Roman" w:cs="Times New Roman"/>
          <w:szCs w:val="22"/>
        </w:rPr>
        <w:t xml:space="preserve"> and, so much so, it would fall within definition of commission or brokerage [Vodafone Essar Cellular Ltd. v. </w:t>
      </w:r>
      <w:proofErr w:type="spellStart"/>
      <w:r w:rsidR="00A1609F" w:rsidRPr="002F101E">
        <w:rPr>
          <w:rFonts w:ascii="Times New Roman" w:hAnsi="Times New Roman" w:cs="Times New Roman"/>
          <w:szCs w:val="22"/>
        </w:rPr>
        <w:t>Asstt</w:t>
      </w:r>
      <w:proofErr w:type="spellEnd"/>
      <w:r w:rsidR="00A1609F" w:rsidRPr="002F101E">
        <w:rPr>
          <w:rFonts w:ascii="Times New Roman" w:hAnsi="Times New Roman" w:cs="Times New Roman"/>
          <w:szCs w:val="22"/>
        </w:rPr>
        <w:t>. CIT </w:t>
      </w:r>
      <w:hyperlink r:id="rId31" w:history="1">
        <w:r w:rsidR="00A1609F" w:rsidRPr="002F101E">
          <w:rPr>
            <w:rStyle w:val="Hyperlink"/>
            <w:rFonts w:ascii="Times New Roman" w:hAnsi="Times New Roman" w:cs="Times New Roman"/>
            <w:szCs w:val="22"/>
          </w:rPr>
          <w:t>[2010] 194 Taxman 518 (Ker.)</w:t>
        </w:r>
      </w:hyperlink>
      <w:r w:rsidR="00A1609F" w:rsidRPr="002F101E">
        <w:rPr>
          <w:rFonts w:ascii="Times New Roman" w:hAnsi="Times New Roman" w:cs="Times New Roman"/>
          <w:szCs w:val="22"/>
        </w:rPr>
        <w:t>].</w:t>
      </w:r>
    </w:p>
    <w:p w14:paraId="6BD17958" w14:textId="77777777" w:rsidR="007B0FEF" w:rsidRPr="002F101E" w:rsidRDefault="007B0FEF" w:rsidP="007B0FEF">
      <w:pPr>
        <w:pStyle w:val="ListParagraph"/>
        <w:rPr>
          <w:rFonts w:ascii="Times New Roman" w:hAnsi="Times New Roman" w:cs="Times New Roman"/>
          <w:szCs w:val="22"/>
        </w:rPr>
      </w:pPr>
    </w:p>
    <w:p w14:paraId="4AF4465D" w14:textId="4A374FC1" w:rsidR="004E6B56" w:rsidRPr="002F101E" w:rsidRDefault="00D87198" w:rsidP="004E6B56">
      <w:pPr>
        <w:pStyle w:val="ListParagraph"/>
        <w:numPr>
          <w:ilvl w:val="1"/>
          <w:numId w:val="1"/>
        </w:numPr>
        <w:ind w:left="426"/>
        <w:rPr>
          <w:rFonts w:ascii="Times New Roman" w:hAnsi="Times New Roman" w:cs="Times New Roman"/>
          <w:b/>
          <w:bCs/>
          <w:szCs w:val="22"/>
          <w:highlight w:val="lightGray"/>
        </w:rPr>
      </w:pPr>
      <w:r w:rsidRPr="002F101E">
        <w:rPr>
          <w:rFonts w:ascii="Times New Roman" w:hAnsi="Times New Roman" w:cs="Times New Roman"/>
          <w:b/>
          <w:bCs/>
          <w:szCs w:val="22"/>
          <w:highlight w:val="lightGray"/>
        </w:rPr>
        <w:lastRenderedPageBreak/>
        <w:t xml:space="preserve">Sale or return arrangement between manufacturer and retailer- </w:t>
      </w:r>
      <w:r w:rsidR="004E6B56" w:rsidRPr="002F101E">
        <w:rPr>
          <w:rFonts w:ascii="Times New Roman" w:hAnsi="Times New Roman" w:cs="Times New Roman"/>
          <w:szCs w:val="22"/>
          <w:highlight w:val="lightGray"/>
        </w:rPr>
        <w:t>The issue under consideration is whether the arrangement between ABC (manufacturer) and PQR (retailer) under a Sales with Right to Return (SOR) model qualifies as a Principal-to-Principal (P2P) or Principal-to-Agent (P2A) relationship, thereby determining the applicability of TDS under Section 194H on the margin earned by PQR.</w:t>
      </w:r>
      <w:r w:rsidR="00486DCC" w:rsidRPr="002F101E">
        <w:rPr>
          <w:rFonts w:ascii="Times New Roman" w:hAnsi="Times New Roman" w:cs="Times New Roman"/>
          <w:szCs w:val="22"/>
          <w:highlight w:val="lightGray"/>
        </w:rPr>
        <w:t xml:space="preserve"> In this scenario, the actual legal nature of the transaction needs to be determined based on various factors</w:t>
      </w:r>
      <w:r w:rsidR="00C201DA" w:rsidRPr="002F101E">
        <w:rPr>
          <w:rFonts w:ascii="Times New Roman" w:hAnsi="Times New Roman" w:cs="Times New Roman"/>
          <w:szCs w:val="22"/>
          <w:highlight w:val="lightGray"/>
        </w:rPr>
        <w:t>, few of which are provided below</w:t>
      </w:r>
      <w:r w:rsidR="00486DCC" w:rsidRPr="002F101E">
        <w:rPr>
          <w:rFonts w:ascii="Times New Roman" w:hAnsi="Times New Roman" w:cs="Times New Roman"/>
          <w:szCs w:val="22"/>
          <w:highlight w:val="lightGray"/>
        </w:rPr>
        <w:t>.</w:t>
      </w:r>
    </w:p>
    <w:p w14:paraId="7736962D" w14:textId="77777777" w:rsidR="00DF7648" w:rsidRPr="002F101E" w:rsidRDefault="00DF7648" w:rsidP="00DF7648">
      <w:pPr>
        <w:numPr>
          <w:ilvl w:val="0"/>
          <w:numId w:val="11"/>
        </w:numPr>
        <w:spacing w:before="100" w:beforeAutospacing="1" w:after="100" w:afterAutospacing="1" w:line="240" w:lineRule="auto"/>
        <w:rPr>
          <w:rFonts w:ascii="Times New Roman" w:eastAsia="Times New Roman" w:hAnsi="Times New Roman" w:cs="Times New Roman"/>
          <w:szCs w:val="22"/>
          <w:highlight w:val="lightGray"/>
          <w:lang w:eastAsia="en-IN"/>
        </w:rPr>
      </w:pPr>
      <w:r w:rsidRPr="002F101E">
        <w:rPr>
          <w:rFonts w:ascii="Times New Roman" w:eastAsia="Times New Roman" w:hAnsi="Times New Roman" w:cs="Times New Roman"/>
          <w:b/>
          <w:bCs/>
          <w:szCs w:val="22"/>
          <w:highlight w:val="lightGray"/>
          <w:lang w:eastAsia="en-IN"/>
        </w:rPr>
        <w:t>Exclusivity</w:t>
      </w:r>
      <w:r w:rsidRPr="002F101E">
        <w:rPr>
          <w:rFonts w:ascii="Times New Roman" w:eastAsia="Times New Roman" w:hAnsi="Times New Roman" w:cs="Times New Roman"/>
          <w:szCs w:val="22"/>
          <w:highlight w:val="lightGray"/>
          <w:lang w:eastAsia="en-IN"/>
        </w:rPr>
        <w:t>: PQR is not an exclusive dealer and can stock competing products.</w:t>
      </w:r>
    </w:p>
    <w:p w14:paraId="042C2913" w14:textId="77777777" w:rsidR="00DF7648" w:rsidRPr="002F101E" w:rsidRDefault="00DF7648" w:rsidP="00DF7648">
      <w:pPr>
        <w:numPr>
          <w:ilvl w:val="0"/>
          <w:numId w:val="11"/>
        </w:numPr>
        <w:spacing w:before="100" w:beforeAutospacing="1" w:after="100" w:afterAutospacing="1" w:line="240" w:lineRule="auto"/>
        <w:rPr>
          <w:rFonts w:ascii="Times New Roman" w:eastAsia="Times New Roman" w:hAnsi="Times New Roman" w:cs="Times New Roman"/>
          <w:szCs w:val="22"/>
          <w:highlight w:val="lightGray"/>
          <w:lang w:eastAsia="en-IN"/>
        </w:rPr>
      </w:pPr>
      <w:r w:rsidRPr="002F101E">
        <w:rPr>
          <w:rFonts w:ascii="Times New Roman" w:eastAsia="Times New Roman" w:hAnsi="Times New Roman" w:cs="Times New Roman"/>
          <w:b/>
          <w:bCs/>
          <w:szCs w:val="22"/>
          <w:highlight w:val="lightGray"/>
          <w:lang w:eastAsia="en-IN"/>
        </w:rPr>
        <w:t>Privity of contract</w:t>
      </w:r>
      <w:r w:rsidRPr="002F101E">
        <w:rPr>
          <w:rFonts w:ascii="Times New Roman" w:eastAsia="Times New Roman" w:hAnsi="Times New Roman" w:cs="Times New Roman"/>
          <w:szCs w:val="22"/>
          <w:highlight w:val="lightGray"/>
          <w:lang w:eastAsia="en-IN"/>
        </w:rPr>
        <w:t>: The end customer deals solely with PQR, and ABC has no direct contractual obligation toward them.</w:t>
      </w:r>
    </w:p>
    <w:p w14:paraId="2D306098" w14:textId="77777777" w:rsidR="00DF7648" w:rsidRPr="002F101E" w:rsidRDefault="00DF7648" w:rsidP="00DF7648">
      <w:pPr>
        <w:numPr>
          <w:ilvl w:val="0"/>
          <w:numId w:val="11"/>
        </w:numPr>
        <w:spacing w:before="100" w:beforeAutospacing="1" w:after="100" w:afterAutospacing="1" w:line="240" w:lineRule="auto"/>
        <w:rPr>
          <w:rFonts w:ascii="Times New Roman" w:eastAsia="Times New Roman" w:hAnsi="Times New Roman" w:cs="Times New Roman"/>
          <w:szCs w:val="22"/>
          <w:highlight w:val="lightGray"/>
          <w:lang w:eastAsia="en-IN"/>
        </w:rPr>
      </w:pPr>
      <w:r w:rsidRPr="002F101E">
        <w:rPr>
          <w:rFonts w:ascii="Times New Roman" w:eastAsia="Times New Roman" w:hAnsi="Times New Roman" w:cs="Times New Roman"/>
          <w:b/>
          <w:bCs/>
          <w:szCs w:val="22"/>
          <w:highlight w:val="lightGray"/>
          <w:lang w:eastAsia="en-IN"/>
        </w:rPr>
        <w:t>Title transfer</w:t>
      </w:r>
      <w:r w:rsidRPr="002F101E">
        <w:rPr>
          <w:rFonts w:ascii="Times New Roman" w:eastAsia="Times New Roman" w:hAnsi="Times New Roman" w:cs="Times New Roman"/>
          <w:szCs w:val="22"/>
          <w:highlight w:val="lightGray"/>
          <w:lang w:eastAsia="en-IN"/>
        </w:rPr>
        <w:t>: Legal ownership of goods momentarily vests with PQR at the time of sale to the end customer.</w:t>
      </w:r>
    </w:p>
    <w:p w14:paraId="33F684E1" w14:textId="77777777" w:rsidR="00DF7648" w:rsidRPr="002F101E" w:rsidRDefault="00DF7648" w:rsidP="00DF7648">
      <w:pPr>
        <w:numPr>
          <w:ilvl w:val="0"/>
          <w:numId w:val="11"/>
        </w:numPr>
        <w:spacing w:before="100" w:beforeAutospacing="1" w:after="100" w:afterAutospacing="1" w:line="240" w:lineRule="auto"/>
        <w:rPr>
          <w:rFonts w:ascii="Times New Roman" w:eastAsia="Times New Roman" w:hAnsi="Times New Roman" w:cs="Times New Roman"/>
          <w:szCs w:val="22"/>
          <w:highlight w:val="lightGray"/>
          <w:lang w:eastAsia="en-IN"/>
        </w:rPr>
      </w:pPr>
      <w:r w:rsidRPr="002F101E">
        <w:rPr>
          <w:rFonts w:ascii="Times New Roman" w:eastAsia="Times New Roman" w:hAnsi="Times New Roman" w:cs="Times New Roman"/>
          <w:b/>
          <w:bCs/>
          <w:szCs w:val="22"/>
          <w:highlight w:val="lightGray"/>
          <w:lang w:eastAsia="en-IN"/>
        </w:rPr>
        <w:t>Pricing discretion</w:t>
      </w:r>
      <w:r w:rsidRPr="002F101E">
        <w:rPr>
          <w:rFonts w:ascii="Times New Roman" w:eastAsia="Times New Roman" w:hAnsi="Times New Roman" w:cs="Times New Roman"/>
          <w:szCs w:val="22"/>
          <w:highlight w:val="lightGray"/>
          <w:lang w:eastAsia="en-IN"/>
        </w:rPr>
        <w:t xml:space="preserve">: PQR has the autonomy to sell at a price lower than the </w:t>
      </w:r>
      <w:r w:rsidRPr="002F101E">
        <w:rPr>
          <w:rFonts w:ascii="Times New Roman" w:eastAsia="Times New Roman" w:hAnsi="Times New Roman" w:cs="Times New Roman"/>
          <w:b/>
          <w:bCs/>
          <w:szCs w:val="22"/>
          <w:highlight w:val="lightGray"/>
          <w:lang w:eastAsia="en-IN"/>
        </w:rPr>
        <w:t>MRP</w:t>
      </w:r>
      <w:r w:rsidRPr="002F101E">
        <w:rPr>
          <w:rFonts w:ascii="Times New Roman" w:eastAsia="Times New Roman" w:hAnsi="Times New Roman" w:cs="Times New Roman"/>
          <w:szCs w:val="22"/>
          <w:highlight w:val="lightGray"/>
          <w:lang w:eastAsia="en-IN"/>
        </w:rPr>
        <w:t>, designing its own discounts.</w:t>
      </w:r>
    </w:p>
    <w:p w14:paraId="2F43FAA2" w14:textId="77777777" w:rsidR="00C201DA" w:rsidRPr="002F101E" w:rsidRDefault="00DF7648" w:rsidP="00C201DA">
      <w:pPr>
        <w:numPr>
          <w:ilvl w:val="0"/>
          <w:numId w:val="11"/>
        </w:numPr>
        <w:spacing w:before="100" w:beforeAutospacing="1" w:after="100" w:afterAutospacing="1" w:line="240" w:lineRule="auto"/>
        <w:rPr>
          <w:rFonts w:ascii="Times New Roman" w:eastAsia="Times New Roman" w:hAnsi="Times New Roman" w:cs="Times New Roman"/>
          <w:szCs w:val="22"/>
          <w:highlight w:val="lightGray"/>
          <w:lang w:eastAsia="en-IN"/>
        </w:rPr>
      </w:pPr>
      <w:r w:rsidRPr="002F101E">
        <w:rPr>
          <w:rFonts w:ascii="Times New Roman" w:eastAsia="Times New Roman" w:hAnsi="Times New Roman" w:cs="Times New Roman"/>
          <w:b/>
          <w:bCs/>
          <w:szCs w:val="22"/>
          <w:highlight w:val="lightGray"/>
          <w:lang w:eastAsia="en-IN"/>
        </w:rPr>
        <w:t>Credit risk</w:t>
      </w:r>
      <w:r w:rsidRPr="002F101E">
        <w:rPr>
          <w:rFonts w:ascii="Times New Roman" w:eastAsia="Times New Roman" w:hAnsi="Times New Roman" w:cs="Times New Roman"/>
          <w:szCs w:val="22"/>
          <w:highlight w:val="lightGray"/>
          <w:lang w:eastAsia="en-IN"/>
        </w:rPr>
        <w:t>: PQR bears the credit risk for any sales made on a credit basis.</w:t>
      </w:r>
    </w:p>
    <w:p w14:paraId="76FEBD34" w14:textId="2975CCA9" w:rsidR="00DF7648" w:rsidRPr="002F101E" w:rsidRDefault="00C201DA" w:rsidP="00C201DA">
      <w:pPr>
        <w:spacing w:before="100" w:beforeAutospacing="1" w:after="100" w:afterAutospacing="1" w:line="240" w:lineRule="auto"/>
        <w:ind w:left="720"/>
        <w:rPr>
          <w:rFonts w:ascii="Times New Roman" w:hAnsi="Times New Roman" w:cs="Times New Roman"/>
          <w:szCs w:val="22"/>
          <w:highlight w:val="lightGray"/>
        </w:rPr>
      </w:pPr>
      <w:r w:rsidRPr="002F101E">
        <w:rPr>
          <w:rFonts w:ascii="Times New Roman" w:hAnsi="Times New Roman" w:cs="Times New Roman"/>
          <w:szCs w:val="22"/>
          <w:highlight w:val="lightGray"/>
        </w:rPr>
        <w:t>Based on these factors and facts of current case, the transaction appears to be a P2P arrangement, suggesting that TDS under Section 194H may not be applicable on the margin earned by PQR.</w:t>
      </w:r>
    </w:p>
    <w:p w14:paraId="2F847192" w14:textId="77777777" w:rsidR="000D0745" w:rsidRPr="002F101E" w:rsidRDefault="005F3EDC" w:rsidP="000D0745">
      <w:pPr>
        <w:pStyle w:val="ListParagraph"/>
        <w:numPr>
          <w:ilvl w:val="1"/>
          <w:numId w:val="1"/>
        </w:numPr>
        <w:spacing w:before="100" w:beforeAutospacing="1" w:after="100" w:afterAutospacing="1" w:line="240" w:lineRule="auto"/>
        <w:ind w:left="426"/>
        <w:rPr>
          <w:rFonts w:ascii="Times New Roman" w:hAnsi="Times New Roman" w:cs="Times New Roman"/>
          <w:szCs w:val="22"/>
          <w:highlight w:val="lightGray"/>
        </w:rPr>
      </w:pPr>
      <w:r w:rsidRPr="002F101E">
        <w:rPr>
          <w:rFonts w:ascii="Times New Roman" w:eastAsia="Times New Roman" w:hAnsi="Times New Roman" w:cs="Times New Roman"/>
          <w:b/>
          <w:bCs/>
          <w:szCs w:val="22"/>
          <w:highlight w:val="lightGray"/>
          <w:lang w:eastAsia="en-IN"/>
        </w:rPr>
        <w:t>Domestic Money Transfer (DMT) business model</w:t>
      </w:r>
      <w:r w:rsidR="00EB4436" w:rsidRPr="002F101E">
        <w:rPr>
          <w:rFonts w:ascii="Times New Roman" w:eastAsia="Times New Roman" w:hAnsi="Times New Roman" w:cs="Times New Roman"/>
          <w:b/>
          <w:bCs/>
          <w:szCs w:val="22"/>
          <w:highlight w:val="lightGray"/>
          <w:lang w:eastAsia="en-IN"/>
        </w:rPr>
        <w:t>:</w:t>
      </w:r>
      <w:r w:rsidRPr="002F101E">
        <w:rPr>
          <w:rFonts w:ascii="Times New Roman" w:eastAsia="Times New Roman" w:hAnsi="Times New Roman" w:cs="Times New Roman"/>
          <w:b/>
          <w:bCs/>
          <w:szCs w:val="22"/>
          <w:highlight w:val="lightGray"/>
          <w:lang w:eastAsia="en-IN"/>
        </w:rPr>
        <w:t xml:space="preserve"> </w:t>
      </w:r>
      <w:r w:rsidR="00FD46D8" w:rsidRPr="002F101E">
        <w:rPr>
          <w:rFonts w:ascii="Times New Roman" w:eastAsia="Times New Roman" w:hAnsi="Times New Roman" w:cs="Times New Roman"/>
          <w:b/>
          <w:bCs/>
          <w:szCs w:val="22"/>
          <w:highlight w:val="lightGray"/>
          <w:lang w:eastAsia="en-IN"/>
        </w:rPr>
        <w:t xml:space="preserve"> </w:t>
      </w:r>
      <w:r w:rsidR="00AE2FBE" w:rsidRPr="002F101E">
        <w:rPr>
          <w:rFonts w:ascii="Times New Roman" w:hAnsi="Times New Roman" w:cs="Times New Roman"/>
          <w:szCs w:val="22"/>
          <w:highlight w:val="lightGray"/>
        </w:rPr>
        <w:t xml:space="preserve">A Co facilitates money transfers through a prepaid wallet system, where funds are digitally transferred between </w:t>
      </w:r>
      <w:r w:rsidR="00AE2FBE" w:rsidRPr="002F101E">
        <w:rPr>
          <w:rStyle w:val="Strong"/>
          <w:rFonts w:ascii="Times New Roman" w:hAnsi="Times New Roman" w:cs="Times New Roman"/>
          <w:szCs w:val="22"/>
          <w:highlight w:val="lightGray"/>
        </w:rPr>
        <w:t>retailers, distributors, and A Co</w:t>
      </w:r>
      <w:r w:rsidR="00AE2FBE" w:rsidRPr="002F101E">
        <w:rPr>
          <w:rFonts w:ascii="Times New Roman" w:hAnsi="Times New Roman" w:cs="Times New Roman"/>
          <w:szCs w:val="22"/>
          <w:highlight w:val="lightGray"/>
        </w:rPr>
        <w:t xml:space="preserve"> without actual cash movement. Initially, A Co argued that no </w:t>
      </w:r>
      <w:r w:rsidR="00AE2FBE" w:rsidRPr="002F101E">
        <w:rPr>
          <w:rStyle w:val="Strong"/>
          <w:rFonts w:ascii="Times New Roman" w:hAnsi="Times New Roman" w:cs="Times New Roman"/>
          <w:szCs w:val="22"/>
          <w:highlight w:val="lightGray"/>
        </w:rPr>
        <w:t>TDS was deductible</w:t>
      </w:r>
      <w:r w:rsidR="00AE2FBE" w:rsidRPr="002F101E">
        <w:rPr>
          <w:rFonts w:ascii="Times New Roman" w:hAnsi="Times New Roman" w:cs="Times New Roman"/>
          <w:szCs w:val="22"/>
          <w:highlight w:val="lightGray"/>
        </w:rPr>
        <w:t xml:space="preserve"> as there was no direct payment to the distributor, relying on the principle that TDS applies only where payment is made</w:t>
      </w:r>
      <w:r w:rsidR="000D0745" w:rsidRPr="002F101E">
        <w:rPr>
          <w:rFonts w:ascii="Times New Roman" w:hAnsi="Times New Roman" w:cs="Times New Roman"/>
          <w:szCs w:val="22"/>
          <w:highlight w:val="lightGray"/>
        </w:rPr>
        <w:t xml:space="preserve">. </w:t>
      </w:r>
    </w:p>
    <w:p w14:paraId="14BFA385" w14:textId="77777777" w:rsidR="000D0745" w:rsidRPr="002F101E" w:rsidRDefault="000D0745" w:rsidP="000D0745">
      <w:pPr>
        <w:pStyle w:val="ListParagraph"/>
        <w:spacing w:before="100" w:beforeAutospacing="1" w:after="100" w:afterAutospacing="1" w:line="240" w:lineRule="auto"/>
        <w:ind w:left="426"/>
        <w:rPr>
          <w:rFonts w:ascii="Times New Roman" w:hAnsi="Times New Roman" w:cs="Times New Roman"/>
          <w:szCs w:val="22"/>
          <w:highlight w:val="lightGray"/>
        </w:rPr>
      </w:pPr>
    </w:p>
    <w:p w14:paraId="6EC81AFD" w14:textId="21640279" w:rsidR="000D0745" w:rsidRPr="002F101E" w:rsidRDefault="000D0745" w:rsidP="000D0745">
      <w:pPr>
        <w:pStyle w:val="ListParagraph"/>
        <w:spacing w:before="100" w:beforeAutospacing="1" w:after="100" w:afterAutospacing="1" w:line="240" w:lineRule="auto"/>
        <w:ind w:left="426"/>
        <w:rPr>
          <w:rFonts w:ascii="Times New Roman" w:hAnsi="Times New Roman" w:cs="Times New Roman"/>
          <w:szCs w:val="22"/>
          <w:highlight w:val="lightGray"/>
        </w:rPr>
      </w:pPr>
      <w:r w:rsidRPr="002F101E">
        <w:rPr>
          <w:rFonts w:ascii="Times New Roman" w:hAnsi="Times New Roman" w:cs="Times New Roman"/>
          <w:szCs w:val="22"/>
          <w:highlight w:val="lightGray"/>
        </w:rPr>
        <w:t xml:space="preserve">Yes, </w:t>
      </w:r>
      <w:r w:rsidRPr="002F101E">
        <w:rPr>
          <w:rFonts w:ascii="Times New Roman" w:hAnsi="Times New Roman" w:cs="Times New Roman"/>
          <w:b/>
          <w:bCs/>
          <w:szCs w:val="22"/>
          <w:highlight w:val="lightGray"/>
        </w:rPr>
        <w:t>TDS under Section 194H is applicable</w:t>
      </w:r>
      <w:r w:rsidRPr="002F101E">
        <w:rPr>
          <w:rFonts w:ascii="Times New Roman" w:hAnsi="Times New Roman" w:cs="Times New Roman"/>
          <w:szCs w:val="22"/>
          <w:highlight w:val="lightGray"/>
        </w:rPr>
        <w:t xml:space="preserve"> on the commission/service fees paid by A Co to its distributors. This is based on the reasoning that the </w:t>
      </w:r>
      <w:r w:rsidRPr="002F101E">
        <w:rPr>
          <w:rFonts w:ascii="Times New Roman" w:hAnsi="Times New Roman" w:cs="Times New Roman"/>
          <w:b/>
          <w:bCs/>
          <w:szCs w:val="22"/>
          <w:highlight w:val="lightGray"/>
        </w:rPr>
        <w:t>margin retained by distributors</w:t>
      </w:r>
      <w:r w:rsidRPr="002F101E">
        <w:rPr>
          <w:rFonts w:ascii="Times New Roman" w:hAnsi="Times New Roman" w:cs="Times New Roman"/>
          <w:szCs w:val="22"/>
          <w:highlight w:val="lightGray"/>
        </w:rPr>
        <w:t xml:space="preserve"> is considered as </w:t>
      </w:r>
      <w:r w:rsidRPr="002F101E">
        <w:rPr>
          <w:rFonts w:ascii="Times New Roman" w:hAnsi="Times New Roman" w:cs="Times New Roman"/>
          <w:b/>
          <w:bCs/>
          <w:szCs w:val="22"/>
          <w:highlight w:val="lightGray"/>
        </w:rPr>
        <w:t>commission</w:t>
      </w:r>
      <w:r w:rsidRPr="002F101E">
        <w:rPr>
          <w:rFonts w:ascii="Times New Roman" w:hAnsi="Times New Roman" w:cs="Times New Roman"/>
          <w:szCs w:val="22"/>
          <w:highlight w:val="lightGray"/>
        </w:rPr>
        <w:t xml:space="preserve"> for facilitating the Domestic Money Transfer (DMT) service. Judicial precedents (such as </w:t>
      </w:r>
      <w:r w:rsidRPr="002F101E">
        <w:rPr>
          <w:rFonts w:ascii="Times New Roman" w:hAnsi="Times New Roman" w:cs="Times New Roman"/>
          <w:b/>
          <w:bCs/>
          <w:szCs w:val="22"/>
          <w:highlight w:val="lightGray"/>
        </w:rPr>
        <w:t>CIT v. Idea Cellular Ltd.</w:t>
      </w:r>
      <w:r w:rsidRPr="002F101E">
        <w:rPr>
          <w:rFonts w:ascii="Times New Roman" w:hAnsi="Times New Roman" w:cs="Times New Roman"/>
          <w:szCs w:val="22"/>
          <w:highlight w:val="lightGray"/>
        </w:rPr>
        <w:t xml:space="preserve"> and </w:t>
      </w:r>
      <w:r w:rsidRPr="002F101E">
        <w:rPr>
          <w:rFonts w:ascii="Times New Roman" w:hAnsi="Times New Roman" w:cs="Times New Roman"/>
          <w:b/>
          <w:bCs/>
          <w:szCs w:val="22"/>
          <w:highlight w:val="lightGray"/>
        </w:rPr>
        <w:t>CIT v. Singapore Airlines Ltd.</w:t>
      </w:r>
      <w:r w:rsidRPr="002F101E">
        <w:rPr>
          <w:rFonts w:ascii="Times New Roman" w:hAnsi="Times New Roman" w:cs="Times New Roman"/>
          <w:szCs w:val="22"/>
          <w:highlight w:val="lightGray"/>
        </w:rPr>
        <w:t xml:space="preserve">) have established that even if </w:t>
      </w:r>
      <w:r w:rsidRPr="002F101E">
        <w:rPr>
          <w:rFonts w:ascii="Times New Roman" w:hAnsi="Times New Roman" w:cs="Times New Roman"/>
          <w:b/>
          <w:bCs/>
          <w:szCs w:val="22"/>
          <w:highlight w:val="lightGray"/>
        </w:rPr>
        <w:t>no direct payment is made</w:t>
      </w:r>
      <w:r w:rsidRPr="002F101E">
        <w:rPr>
          <w:rFonts w:ascii="Times New Roman" w:hAnsi="Times New Roman" w:cs="Times New Roman"/>
          <w:szCs w:val="22"/>
          <w:highlight w:val="lightGray"/>
        </w:rPr>
        <w:t>, TDS is applicable on the commission component.</w:t>
      </w:r>
    </w:p>
    <w:p w14:paraId="2F6234E0" w14:textId="77777777" w:rsidR="000D0745" w:rsidRPr="002F101E" w:rsidRDefault="000D0745" w:rsidP="000D0745">
      <w:pPr>
        <w:pStyle w:val="ListParagraph"/>
        <w:spacing w:before="100" w:beforeAutospacing="1" w:after="100" w:afterAutospacing="1" w:line="240" w:lineRule="auto"/>
        <w:ind w:left="426"/>
        <w:rPr>
          <w:rFonts w:ascii="Times New Roman" w:hAnsi="Times New Roman" w:cs="Times New Roman"/>
          <w:szCs w:val="22"/>
          <w:highlight w:val="lightGray"/>
        </w:rPr>
      </w:pPr>
    </w:p>
    <w:p w14:paraId="53F37E35" w14:textId="77777777" w:rsidR="00220B9E" w:rsidRPr="002F101E" w:rsidRDefault="008B7671" w:rsidP="00220B9E">
      <w:pPr>
        <w:pStyle w:val="ListParagraph"/>
        <w:numPr>
          <w:ilvl w:val="1"/>
          <w:numId w:val="1"/>
        </w:numPr>
        <w:spacing w:before="100" w:beforeAutospacing="1" w:after="100" w:afterAutospacing="1" w:line="240" w:lineRule="auto"/>
        <w:ind w:left="426"/>
        <w:rPr>
          <w:rFonts w:ascii="Times New Roman" w:hAnsi="Times New Roman" w:cs="Times New Roman"/>
          <w:szCs w:val="22"/>
          <w:highlight w:val="lightGray"/>
          <w:lang w:val="en-US"/>
        </w:rPr>
      </w:pPr>
      <w:r w:rsidRPr="002F101E">
        <w:rPr>
          <w:rFonts w:ascii="Times New Roman" w:hAnsi="Times New Roman" w:cs="Times New Roman"/>
          <w:b/>
          <w:bCs/>
          <w:szCs w:val="22"/>
          <w:highlight w:val="lightGray"/>
        </w:rPr>
        <w:t>Debit/ Credit card charges</w:t>
      </w:r>
      <w:r w:rsidR="00220B9E" w:rsidRPr="002F101E">
        <w:rPr>
          <w:rFonts w:ascii="Times New Roman" w:hAnsi="Times New Roman" w:cs="Times New Roman"/>
          <w:b/>
          <w:bCs/>
          <w:szCs w:val="22"/>
          <w:highlight w:val="lightGray"/>
        </w:rPr>
        <w:t xml:space="preserve">: </w:t>
      </w:r>
      <w:r w:rsidR="00220B9E" w:rsidRPr="002F101E">
        <w:rPr>
          <w:rFonts w:ascii="Times New Roman" w:hAnsi="Times New Roman" w:cs="Times New Roman"/>
          <w:szCs w:val="22"/>
          <w:highlight w:val="lightGray"/>
          <w:lang w:val="en-US"/>
        </w:rPr>
        <w:t>Tax is not required to be deducted under S. 194H on the debit/credit card charges. This supported by judicial precedents and Notification No. 56/2012 dated 31 December 2012 issued by Central Government.</w:t>
      </w:r>
    </w:p>
    <w:p w14:paraId="044F9705" w14:textId="77777777" w:rsidR="00E20AFD" w:rsidRPr="002F101E" w:rsidRDefault="00E20AFD" w:rsidP="00E20AFD">
      <w:pPr>
        <w:pStyle w:val="ListParagraph"/>
        <w:spacing w:before="100" w:beforeAutospacing="1" w:after="100" w:afterAutospacing="1" w:line="240" w:lineRule="auto"/>
        <w:ind w:left="426"/>
        <w:rPr>
          <w:rFonts w:ascii="Times New Roman" w:hAnsi="Times New Roman" w:cs="Times New Roman"/>
          <w:szCs w:val="22"/>
          <w:highlight w:val="lightGray"/>
          <w:lang w:val="en-US"/>
        </w:rPr>
      </w:pPr>
    </w:p>
    <w:p w14:paraId="17224B09" w14:textId="77777777" w:rsidR="00417BAD" w:rsidRPr="002F101E" w:rsidRDefault="00E20AFD" w:rsidP="00417BAD">
      <w:pPr>
        <w:pStyle w:val="ListParagraph"/>
        <w:numPr>
          <w:ilvl w:val="1"/>
          <w:numId w:val="1"/>
        </w:numPr>
        <w:spacing w:before="100" w:beforeAutospacing="1" w:after="100" w:afterAutospacing="1" w:line="240" w:lineRule="auto"/>
        <w:ind w:left="426"/>
        <w:rPr>
          <w:rFonts w:ascii="Times New Roman" w:hAnsi="Times New Roman" w:cs="Times New Roman"/>
          <w:b/>
          <w:bCs/>
          <w:szCs w:val="22"/>
          <w:highlight w:val="lightGray"/>
          <w:lang w:val="en-US"/>
        </w:rPr>
      </w:pPr>
      <w:r w:rsidRPr="002F101E">
        <w:rPr>
          <w:rFonts w:ascii="Times New Roman" w:hAnsi="Times New Roman" w:cs="Times New Roman"/>
          <w:b/>
          <w:bCs/>
          <w:szCs w:val="22"/>
          <w:highlight w:val="lightGray"/>
          <w:lang w:val="en-US"/>
        </w:rPr>
        <w:t>Facilitate sale of goods transaction for E-commerce participant:</w:t>
      </w:r>
      <w:r w:rsidR="00417BAD" w:rsidRPr="002F101E">
        <w:rPr>
          <w:rFonts w:ascii="Times New Roman" w:hAnsi="Times New Roman" w:cs="Times New Roman"/>
          <w:b/>
          <w:bCs/>
          <w:szCs w:val="22"/>
          <w:highlight w:val="lightGray"/>
          <w:lang w:val="en-US"/>
        </w:rPr>
        <w:t xml:space="preserve"> </w:t>
      </w:r>
      <w:r w:rsidR="00417BAD" w:rsidRPr="002F101E">
        <w:rPr>
          <w:rFonts w:ascii="Times New Roman" w:hAnsi="Times New Roman" w:cs="Times New Roman"/>
          <w:szCs w:val="22"/>
          <w:highlight w:val="lightGray"/>
        </w:rPr>
        <w:t xml:space="preserve">The issue under consideration is whether </w:t>
      </w:r>
      <w:r w:rsidR="00417BAD" w:rsidRPr="002F101E">
        <w:rPr>
          <w:rStyle w:val="Strong"/>
          <w:rFonts w:ascii="Times New Roman" w:hAnsi="Times New Roman" w:cs="Times New Roman"/>
          <w:szCs w:val="22"/>
          <w:highlight w:val="lightGray"/>
        </w:rPr>
        <w:t>TDS under Section 194H</w:t>
      </w:r>
      <w:r w:rsidR="00417BAD" w:rsidRPr="002F101E">
        <w:rPr>
          <w:rFonts w:ascii="Times New Roman" w:hAnsi="Times New Roman" w:cs="Times New Roman"/>
          <w:szCs w:val="22"/>
          <w:highlight w:val="lightGray"/>
        </w:rPr>
        <w:t xml:space="preserve"> applies to the </w:t>
      </w:r>
      <w:r w:rsidR="00417BAD" w:rsidRPr="002F101E">
        <w:rPr>
          <w:rStyle w:val="Strong"/>
          <w:rFonts w:ascii="Times New Roman" w:hAnsi="Times New Roman" w:cs="Times New Roman"/>
          <w:szCs w:val="22"/>
          <w:highlight w:val="lightGray"/>
        </w:rPr>
        <w:t>commission retained by A Co.</w:t>
      </w:r>
      <w:r w:rsidR="00417BAD" w:rsidRPr="002F101E">
        <w:rPr>
          <w:rFonts w:ascii="Times New Roman" w:hAnsi="Times New Roman" w:cs="Times New Roman"/>
          <w:szCs w:val="22"/>
          <w:highlight w:val="lightGray"/>
        </w:rPr>
        <w:t xml:space="preserve"> while facilitating e-commerce transactions on its platform, despite tax already being deducted under </w:t>
      </w:r>
      <w:r w:rsidR="00417BAD" w:rsidRPr="002F101E">
        <w:rPr>
          <w:rStyle w:val="Strong"/>
          <w:rFonts w:ascii="Times New Roman" w:hAnsi="Times New Roman" w:cs="Times New Roman"/>
          <w:szCs w:val="22"/>
          <w:highlight w:val="lightGray"/>
        </w:rPr>
        <w:t>Section 194-O</w:t>
      </w:r>
      <w:r w:rsidR="00417BAD" w:rsidRPr="002F101E">
        <w:rPr>
          <w:rFonts w:ascii="Times New Roman" w:hAnsi="Times New Roman" w:cs="Times New Roman"/>
          <w:szCs w:val="22"/>
          <w:highlight w:val="lightGray"/>
        </w:rPr>
        <w:t xml:space="preserve">. A Co. operates an e-commerce platform where a </w:t>
      </w:r>
      <w:r w:rsidR="00417BAD" w:rsidRPr="002F101E">
        <w:rPr>
          <w:rStyle w:val="Strong"/>
          <w:rFonts w:ascii="Times New Roman" w:hAnsi="Times New Roman" w:cs="Times New Roman"/>
          <w:szCs w:val="22"/>
          <w:highlight w:val="lightGray"/>
        </w:rPr>
        <w:t>third-party manufacturer (TPM)</w:t>
      </w:r>
      <w:r w:rsidR="00417BAD" w:rsidRPr="002F101E">
        <w:rPr>
          <w:rFonts w:ascii="Times New Roman" w:hAnsi="Times New Roman" w:cs="Times New Roman"/>
          <w:szCs w:val="22"/>
          <w:highlight w:val="lightGray"/>
        </w:rPr>
        <w:t xml:space="preserve"> sells products, and A Co. retains a </w:t>
      </w:r>
      <w:r w:rsidR="00417BAD" w:rsidRPr="002F101E">
        <w:rPr>
          <w:rStyle w:val="Strong"/>
          <w:rFonts w:ascii="Times New Roman" w:hAnsi="Times New Roman" w:cs="Times New Roman"/>
          <w:szCs w:val="22"/>
          <w:highlight w:val="lightGray"/>
        </w:rPr>
        <w:t>3% commission</w:t>
      </w:r>
      <w:r w:rsidR="00417BAD" w:rsidRPr="002F101E">
        <w:rPr>
          <w:rFonts w:ascii="Times New Roman" w:hAnsi="Times New Roman" w:cs="Times New Roman"/>
          <w:szCs w:val="22"/>
          <w:highlight w:val="lightGray"/>
        </w:rPr>
        <w:t xml:space="preserve"> before remitting the sale proceeds to TPM after deducting </w:t>
      </w:r>
      <w:r w:rsidR="00417BAD" w:rsidRPr="002F101E">
        <w:rPr>
          <w:rStyle w:val="Strong"/>
          <w:rFonts w:ascii="Times New Roman" w:hAnsi="Times New Roman" w:cs="Times New Roman"/>
          <w:szCs w:val="22"/>
          <w:highlight w:val="lightGray"/>
        </w:rPr>
        <w:t>TDS under Section 194-O</w:t>
      </w:r>
      <w:r w:rsidR="00417BAD" w:rsidRPr="002F101E">
        <w:rPr>
          <w:rFonts w:ascii="Times New Roman" w:hAnsi="Times New Roman" w:cs="Times New Roman"/>
          <w:szCs w:val="22"/>
          <w:highlight w:val="lightGray"/>
        </w:rPr>
        <w:t xml:space="preserve">. The primary question is whether this commission should be subjected to </w:t>
      </w:r>
      <w:r w:rsidR="00417BAD" w:rsidRPr="002F101E">
        <w:rPr>
          <w:rStyle w:val="Strong"/>
          <w:rFonts w:ascii="Times New Roman" w:hAnsi="Times New Roman" w:cs="Times New Roman"/>
          <w:szCs w:val="22"/>
          <w:highlight w:val="lightGray"/>
        </w:rPr>
        <w:t>additional TDS under Section 194H</w:t>
      </w:r>
      <w:r w:rsidR="00417BAD" w:rsidRPr="002F101E">
        <w:rPr>
          <w:rFonts w:ascii="Times New Roman" w:hAnsi="Times New Roman" w:cs="Times New Roman"/>
          <w:szCs w:val="22"/>
          <w:highlight w:val="lightGray"/>
        </w:rPr>
        <w:t xml:space="preserve"> or whether Section 194-</w:t>
      </w:r>
      <w:proofErr w:type="gramStart"/>
      <w:r w:rsidR="00417BAD" w:rsidRPr="002F101E">
        <w:rPr>
          <w:rFonts w:ascii="Times New Roman" w:hAnsi="Times New Roman" w:cs="Times New Roman"/>
          <w:szCs w:val="22"/>
          <w:highlight w:val="lightGray"/>
        </w:rPr>
        <w:t>O(</w:t>
      </w:r>
      <w:proofErr w:type="gramEnd"/>
      <w:r w:rsidR="00417BAD" w:rsidRPr="002F101E">
        <w:rPr>
          <w:rFonts w:ascii="Times New Roman" w:hAnsi="Times New Roman" w:cs="Times New Roman"/>
          <w:szCs w:val="22"/>
          <w:highlight w:val="lightGray"/>
        </w:rPr>
        <w:t>3), which prevents double TDS on the same transaction, provides an exemption.</w:t>
      </w:r>
    </w:p>
    <w:p w14:paraId="19A56958" w14:textId="77777777" w:rsidR="00417BAD" w:rsidRPr="002F101E" w:rsidRDefault="00417BAD" w:rsidP="00417BAD">
      <w:pPr>
        <w:pStyle w:val="ListParagraph"/>
        <w:rPr>
          <w:rFonts w:ascii="Times New Roman" w:hAnsi="Times New Roman" w:cs="Times New Roman"/>
          <w:szCs w:val="22"/>
          <w:highlight w:val="lightGray"/>
        </w:rPr>
      </w:pPr>
    </w:p>
    <w:p w14:paraId="395970A8" w14:textId="5CDFF762" w:rsidR="00417BAD" w:rsidRPr="002F101E" w:rsidRDefault="00417BAD" w:rsidP="00417BAD">
      <w:pPr>
        <w:pStyle w:val="ListParagraph"/>
        <w:spacing w:before="100" w:beforeAutospacing="1" w:after="100" w:afterAutospacing="1" w:line="240" w:lineRule="auto"/>
        <w:ind w:left="426"/>
        <w:rPr>
          <w:rFonts w:ascii="Times New Roman" w:hAnsi="Times New Roman" w:cs="Times New Roman"/>
          <w:b/>
          <w:bCs/>
          <w:szCs w:val="22"/>
          <w:highlight w:val="lightGray"/>
          <w:lang w:val="en-US"/>
        </w:rPr>
      </w:pPr>
      <w:r w:rsidRPr="002F101E">
        <w:rPr>
          <w:rFonts w:ascii="Times New Roman" w:hAnsi="Times New Roman" w:cs="Times New Roman"/>
          <w:szCs w:val="22"/>
          <w:highlight w:val="lightGray"/>
        </w:rPr>
        <w:t xml:space="preserve">Upon analysis, it is concluded that </w:t>
      </w:r>
      <w:r w:rsidRPr="002F101E">
        <w:rPr>
          <w:rStyle w:val="Strong"/>
          <w:rFonts w:ascii="Times New Roman" w:hAnsi="Times New Roman" w:cs="Times New Roman"/>
          <w:szCs w:val="22"/>
          <w:highlight w:val="lightGray"/>
        </w:rPr>
        <w:t>Section 194-O(3) does not exempt the commission from TDS under Section 194H</w:t>
      </w:r>
      <w:r w:rsidRPr="002F101E">
        <w:rPr>
          <w:rFonts w:ascii="Times New Roman" w:hAnsi="Times New Roman" w:cs="Times New Roman"/>
          <w:szCs w:val="22"/>
          <w:highlight w:val="lightGray"/>
        </w:rPr>
        <w:t xml:space="preserve"> because there are two separate transactions: (1) the </w:t>
      </w:r>
      <w:r w:rsidRPr="002F101E">
        <w:rPr>
          <w:rStyle w:val="Strong"/>
          <w:rFonts w:ascii="Times New Roman" w:hAnsi="Times New Roman" w:cs="Times New Roman"/>
          <w:szCs w:val="22"/>
          <w:highlight w:val="lightGray"/>
        </w:rPr>
        <w:t>payment of sale proceeds</w:t>
      </w:r>
      <w:r w:rsidRPr="002F101E">
        <w:rPr>
          <w:rFonts w:ascii="Times New Roman" w:hAnsi="Times New Roman" w:cs="Times New Roman"/>
          <w:szCs w:val="22"/>
          <w:highlight w:val="lightGray"/>
        </w:rPr>
        <w:t xml:space="preserve"> by A Co. to TPM (subject to TDS under </w:t>
      </w:r>
      <w:r w:rsidRPr="002F101E">
        <w:rPr>
          <w:rStyle w:val="Strong"/>
          <w:rFonts w:ascii="Times New Roman" w:hAnsi="Times New Roman" w:cs="Times New Roman"/>
          <w:szCs w:val="22"/>
          <w:highlight w:val="lightGray"/>
        </w:rPr>
        <w:t>Section 194-O</w:t>
      </w:r>
      <w:r w:rsidRPr="002F101E">
        <w:rPr>
          <w:rFonts w:ascii="Times New Roman" w:hAnsi="Times New Roman" w:cs="Times New Roman"/>
          <w:szCs w:val="22"/>
          <w:highlight w:val="lightGray"/>
        </w:rPr>
        <w:t xml:space="preserve">) and (2) the </w:t>
      </w:r>
      <w:r w:rsidRPr="002F101E">
        <w:rPr>
          <w:rStyle w:val="Strong"/>
          <w:rFonts w:ascii="Times New Roman" w:hAnsi="Times New Roman" w:cs="Times New Roman"/>
          <w:szCs w:val="22"/>
          <w:highlight w:val="lightGray"/>
        </w:rPr>
        <w:t>commission retained</w:t>
      </w:r>
      <w:r w:rsidRPr="002F101E">
        <w:rPr>
          <w:rFonts w:ascii="Times New Roman" w:hAnsi="Times New Roman" w:cs="Times New Roman"/>
          <w:szCs w:val="22"/>
          <w:highlight w:val="lightGray"/>
        </w:rPr>
        <w:t xml:space="preserve"> by A Co. for </w:t>
      </w:r>
      <w:r w:rsidRPr="002F101E">
        <w:rPr>
          <w:rFonts w:ascii="Times New Roman" w:hAnsi="Times New Roman" w:cs="Times New Roman"/>
          <w:szCs w:val="22"/>
          <w:highlight w:val="lightGray"/>
        </w:rPr>
        <w:lastRenderedPageBreak/>
        <w:t>using its platform (which is an income for A Co.). Since Section 194-</w:t>
      </w:r>
      <w:proofErr w:type="gramStart"/>
      <w:r w:rsidRPr="002F101E">
        <w:rPr>
          <w:rFonts w:ascii="Times New Roman" w:hAnsi="Times New Roman" w:cs="Times New Roman"/>
          <w:szCs w:val="22"/>
          <w:highlight w:val="lightGray"/>
        </w:rPr>
        <w:t>O(</w:t>
      </w:r>
      <w:proofErr w:type="gramEnd"/>
      <w:r w:rsidRPr="002F101E">
        <w:rPr>
          <w:rFonts w:ascii="Times New Roman" w:hAnsi="Times New Roman" w:cs="Times New Roman"/>
          <w:szCs w:val="22"/>
          <w:highlight w:val="lightGray"/>
        </w:rPr>
        <w:t xml:space="preserve">3) applies to </w:t>
      </w:r>
      <w:r w:rsidRPr="002F101E">
        <w:rPr>
          <w:rStyle w:val="Strong"/>
          <w:rFonts w:ascii="Times New Roman" w:hAnsi="Times New Roman" w:cs="Times New Roman"/>
          <w:szCs w:val="22"/>
          <w:highlight w:val="lightGray"/>
        </w:rPr>
        <w:t>the same transaction</w:t>
      </w:r>
      <w:r w:rsidRPr="002F101E">
        <w:rPr>
          <w:rFonts w:ascii="Times New Roman" w:hAnsi="Times New Roman" w:cs="Times New Roman"/>
          <w:szCs w:val="22"/>
          <w:highlight w:val="lightGray"/>
        </w:rPr>
        <w:t xml:space="preserve"> and does not cover distinct transactions, the commission retained by A Co. qualifies as a </w:t>
      </w:r>
      <w:r w:rsidRPr="002F101E">
        <w:rPr>
          <w:rStyle w:val="Strong"/>
          <w:rFonts w:ascii="Times New Roman" w:hAnsi="Times New Roman" w:cs="Times New Roman"/>
          <w:szCs w:val="22"/>
          <w:highlight w:val="lightGray"/>
        </w:rPr>
        <w:t>commission payment</w:t>
      </w:r>
      <w:r w:rsidRPr="002F101E">
        <w:rPr>
          <w:rFonts w:ascii="Times New Roman" w:hAnsi="Times New Roman" w:cs="Times New Roman"/>
          <w:szCs w:val="22"/>
          <w:highlight w:val="lightGray"/>
        </w:rPr>
        <w:t xml:space="preserve"> under Section 194H. Thus, TPM is required to </w:t>
      </w:r>
      <w:r w:rsidRPr="002F101E">
        <w:rPr>
          <w:rStyle w:val="Strong"/>
          <w:rFonts w:ascii="Times New Roman" w:hAnsi="Times New Roman" w:cs="Times New Roman"/>
          <w:szCs w:val="22"/>
          <w:highlight w:val="lightGray"/>
        </w:rPr>
        <w:t>deduct TDS at 5% under Section 194H</w:t>
      </w:r>
      <w:r w:rsidRPr="002F101E">
        <w:rPr>
          <w:rFonts w:ascii="Times New Roman" w:hAnsi="Times New Roman" w:cs="Times New Roman"/>
          <w:szCs w:val="22"/>
          <w:highlight w:val="lightGray"/>
        </w:rPr>
        <w:t xml:space="preserve"> on the commission retained by A Co.</w:t>
      </w:r>
    </w:p>
    <w:p w14:paraId="7EC7BDA0" w14:textId="77777777" w:rsidR="006F1359" w:rsidRPr="002F101E" w:rsidRDefault="006F1359" w:rsidP="006F1359">
      <w:pPr>
        <w:pStyle w:val="ListParagraph"/>
        <w:spacing w:before="100" w:beforeAutospacing="1" w:after="100" w:afterAutospacing="1" w:line="240" w:lineRule="auto"/>
        <w:ind w:left="426"/>
        <w:rPr>
          <w:rFonts w:ascii="Times New Roman" w:hAnsi="Times New Roman" w:cs="Times New Roman"/>
          <w:szCs w:val="22"/>
          <w:highlight w:val="lightGray"/>
          <w:lang w:val="en-US"/>
        </w:rPr>
      </w:pPr>
    </w:p>
    <w:p w14:paraId="1624363C" w14:textId="390E906F" w:rsidR="00377377" w:rsidRPr="002F101E" w:rsidRDefault="00B44A1D" w:rsidP="007776E5">
      <w:pPr>
        <w:pStyle w:val="ListParagraph"/>
        <w:numPr>
          <w:ilvl w:val="1"/>
          <w:numId w:val="1"/>
        </w:numPr>
        <w:spacing w:before="100" w:beforeAutospacing="1" w:after="100" w:afterAutospacing="1" w:line="240" w:lineRule="auto"/>
        <w:ind w:left="426"/>
        <w:rPr>
          <w:rFonts w:ascii="Times New Roman" w:hAnsi="Times New Roman" w:cs="Times New Roman"/>
          <w:szCs w:val="22"/>
          <w:highlight w:val="lightGray"/>
          <w:lang w:val="en-US"/>
        </w:rPr>
      </w:pPr>
      <w:r w:rsidRPr="002F101E">
        <w:rPr>
          <w:rFonts w:ascii="Times New Roman" w:hAnsi="Times New Roman" w:cs="Times New Roman"/>
          <w:b/>
          <w:bCs/>
          <w:szCs w:val="22"/>
          <w:highlight w:val="lightGray"/>
          <w:lang w:val="en-US"/>
        </w:rPr>
        <w:t>Discount on sale of set top boxes</w:t>
      </w:r>
      <w:r w:rsidR="00377377" w:rsidRPr="002F101E">
        <w:rPr>
          <w:rFonts w:ascii="Times New Roman" w:hAnsi="Times New Roman" w:cs="Times New Roman"/>
          <w:b/>
          <w:bCs/>
          <w:szCs w:val="22"/>
          <w:highlight w:val="lightGray"/>
          <w:lang w:val="en-US"/>
        </w:rPr>
        <w:t xml:space="preserve">: </w:t>
      </w:r>
      <w:r w:rsidR="00377377" w:rsidRPr="002F101E">
        <w:rPr>
          <w:rFonts w:ascii="Times New Roman" w:hAnsi="Times New Roman" w:cs="Times New Roman"/>
          <w:szCs w:val="22"/>
          <w:highlight w:val="lightGray"/>
        </w:rPr>
        <w:t xml:space="preserve">The issue under consideration is whether the </w:t>
      </w:r>
      <w:r w:rsidR="00377377" w:rsidRPr="002F101E">
        <w:rPr>
          <w:rStyle w:val="Strong"/>
          <w:rFonts w:ascii="Times New Roman" w:hAnsi="Times New Roman" w:cs="Times New Roman"/>
          <w:szCs w:val="22"/>
          <w:highlight w:val="lightGray"/>
        </w:rPr>
        <w:t>discount given on the sale of Set-Top Boxes (STBs), Recharge Coupon Vouchers (RCVs), and Starter Kits (SKs) to distributors</w:t>
      </w:r>
      <w:r w:rsidR="00377377" w:rsidRPr="002F101E">
        <w:rPr>
          <w:rFonts w:ascii="Times New Roman" w:hAnsi="Times New Roman" w:cs="Times New Roman"/>
          <w:szCs w:val="22"/>
          <w:highlight w:val="lightGray"/>
        </w:rPr>
        <w:t xml:space="preserve"> qualifies as </w:t>
      </w:r>
      <w:r w:rsidR="00377377" w:rsidRPr="002F101E">
        <w:rPr>
          <w:rStyle w:val="Strong"/>
          <w:rFonts w:ascii="Times New Roman" w:hAnsi="Times New Roman" w:cs="Times New Roman"/>
          <w:szCs w:val="22"/>
          <w:highlight w:val="lightGray"/>
        </w:rPr>
        <w:t>commission under Section 194H</w:t>
      </w:r>
      <w:r w:rsidR="00377377" w:rsidRPr="002F101E">
        <w:rPr>
          <w:rFonts w:ascii="Times New Roman" w:hAnsi="Times New Roman" w:cs="Times New Roman"/>
          <w:szCs w:val="22"/>
          <w:highlight w:val="lightGray"/>
        </w:rPr>
        <w:t xml:space="preserve"> of the Income Tax Act, thereby attracting TDS liability. The tax authorities argue that the </w:t>
      </w:r>
      <w:r w:rsidR="00377377" w:rsidRPr="002F101E">
        <w:rPr>
          <w:rStyle w:val="Strong"/>
          <w:rFonts w:ascii="Times New Roman" w:hAnsi="Times New Roman" w:cs="Times New Roman"/>
          <w:szCs w:val="22"/>
          <w:highlight w:val="lightGray"/>
        </w:rPr>
        <w:t>principal-agent relationship</w:t>
      </w:r>
      <w:r w:rsidR="00377377" w:rsidRPr="002F101E">
        <w:rPr>
          <w:rFonts w:ascii="Times New Roman" w:hAnsi="Times New Roman" w:cs="Times New Roman"/>
          <w:szCs w:val="22"/>
          <w:highlight w:val="lightGray"/>
        </w:rPr>
        <w:t xml:space="preserve"> exists between the company (PQR) and its distributors, and the difference between MRP and the distributor price is </w:t>
      </w:r>
      <w:r w:rsidR="00377377" w:rsidRPr="002F101E">
        <w:rPr>
          <w:rStyle w:val="Strong"/>
          <w:rFonts w:ascii="Times New Roman" w:hAnsi="Times New Roman" w:cs="Times New Roman"/>
          <w:szCs w:val="22"/>
          <w:highlight w:val="lightGray"/>
        </w:rPr>
        <w:t>commission</w:t>
      </w:r>
      <w:r w:rsidR="00377377" w:rsidRPr="002F101E">
        <w:rPr>
          <w:rFonts w:ascii="Times New Roman" w:hAnsi="Times New Roman" w:cs="Times New Roman"/>
          <w:szCs w:val="22"/>
          <w:highlight w:val="lightGray"/>
        </w:rPr>
        <w:t xml:space="preserve"> rather than a trade discount. Conversely, PQR contends that the </w:t>
      </w:r>
      <w:r w:rsidR="00377377" w:rsidRPr="002F101E">
        <w:rPr>
          <w:rStyle w:val="Strong"/>
          <w:rFonts w:ascii="Times New Roman" w:hAnsi="Times New Roman" w:cs="Times New Roman"/>
          <w:szCs w:val="22"/>
          <w:highlight w:val="lightGray"/>
        </w:rPr>
        <w:t>transactions are on a Principal-to-Principal (P2P) basis</w:t>
      </w:r>
      <w:r w:rsidR="00377377" w:rsidRPr="002F101E">
        <w:rPr>
          <w:rFonts w:ascii="Times New Roman" w:hAnsi="Times New Roman" w:cs="Times New Roman"/>
          <w:szCs w:val="22"/>
          <w:highlight w:val="lightGray"/>
        </w:rPr>
        <w:t xml:space="preserve">, where ownership and risks transfer to the distributor at the time of sale, thus </w:t>
      </w:r>
      <w:r w:rsidR="00377377" w:rsidRPr="002F101E">
        <w:rPr>
          <w:rStyle w:val="Strong"/>
          <w:rFonts w:ascii="Times New Roman" w:hAnsi="Times New Roman" w:cs="Times New Roman"/>
          <w:szCs w:val="22"/>
          <w:highlight w:val="lightGray"/>
        </w:rPr>
        <w:t>Section 194H should not apply</w:t>
      </w:r>
      <w:r w:rsidR="00377377" w:rsidRPr="002F101E">
        <w:rPr>
          <w:rFonts w:ascii="Times New Roman" w:hAnsi="Times New Roman" w:cs="Times New Roman"/>
          <w:szCs w:val="22"/>
          <w:highlight w:val="lightGray"/>
        </w:rPr>
        <w:t>.</w:t>
      </w:r>
    </w:p>
    <w:sectPr w:rsidR="00377377" w:rsidRPr="002F101E" w:rsidSect="00B31020">
      <w:headerReference w:type="default" r:id="rId32"/>
      <w:pgSz w:w="16838" w:h="11906" w:orient="landscape"/>
      <w:pgMar w:top="1440" w:right="1276" w:bottom="1440"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69CB7" w14:textId="77777777" w:rsidR="00FE12C8" w:rsidRDefault="00FE12C8">
      <w:pPr>
        <w:spacing w:after="0" w:line="240" w:lineRule="auto"/>
      </w:pPr>
      <w:r>
        <w:separator/>
      </w:r>
    </w:p>
  </w:endnote>
  <w:endnote w:type="continuationSeparator" w:id="0">
    <w:p w14:paraId="159E6C1E" w14:textId="77777777" w:rsidR="00FE12C8" w:rsidRDefault="00FE12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YInterstate Light">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0CA906" w14:textId="77777777" w:rsidR="00FE12C8" w:rsidRDefault="00FE12C8">
      <w:pPr>
        <w:spacing w:after="0" w:line="240" w:lineRule="auto"/>
      </w:pPr>
      <w:r>
        <w:separator/>
      </w:r>
    </w:p>
  </w:footnote>
  <w:footnote w:type="continuationSeparator" w:id="0">
    <w:p w14:paraId="10251846" w14:textId="77777777" w:rsidR="00FE12C8" w:rsidRDefault="00FE12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94D13" w14:textId="77777777" w:rsidR="001A3157" w:rsidRDefault="001A31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E6FF0"/>
    <w:multiLevelType w:val="multilevel"/>
    <w:tmpl w:val="42A41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357DE"/>
    <w:multiLevelType w:val="multilevel"/>
    <w:tmpl w:val="5642B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B6275"/>
    <w:multiLevelType w:val="hybridMultilevel"/>
    <w:tmpl w:val="433CB542"/>
    <w:lvl w:ilvl="0" w:tplc="CBA638E6">
      <w:start w:val="1"/>
      <w:numFmt w:val="lowerRoman"/>
      <w:lvlText w:val="(%1)"/>
      <w:lvlJc w:val="left"/>
      <w:pPr>
        <w:ind w:left="1571" w:hanging="720"/>
      </w:pPr>
      <w:rPr>
        <w:rFonts w:hint="default"/>
      </w:rPr>
    </w:lvl>
    <w:lvl w:ilvl="1" w:tplc="40090019" w:tentative="1">
      <w:start w:val="1"/>
      <w:numFmt w:val="lowerLetter"/>
      <w:lvlText w:val="%2."/>
      <w:lvlJc w:val="left"/>
      <w:pPr>
        <w:ind w:left="1931" w:hanging="360"/>
      </w:pPr>
    </w:lvl>
    <w:lvl w:ilvl="2" w:tplc="4009001B" w:tentative="1">
      <w:start w:val="1"/>
      <w:numFmt w:val="lowerRoman"/>
      <w:lvlText w:val="%3."/>
      <w:lvlJc w:val="right"/>
      <w:pPr>
        <w:ind w:left="2651" w:hanging="180"/>
      </w:pPr>
    </w:lvl>
    <w:lvl w:ilvl="3" w:tplc="4009000F" w:tentative="1">
      <w:start w:val="1"/>
      <w:numFmt w:val="decimal"/>
      <w:lvlText w:val="%4."/>
      <w:lvlJc w:val="left"/>
      <w:pPr>
        <w:ind w:left="3371" w:hanging="360"/>
      </w:pPr>
    </w:lvl>
    <w:lvl w:ilvl="4" w:tplc="40090019" w:tentative="1">
      <w:start w:val="1"/>
      <w:numFmt w:val="lowerLetter"/>
      <w:lvlText w:val="%5."/>
      <w:lvlJc w:val="left"/>
      <w:pPr>
        <w:ind w:left="4091" w:hanging="360"/>
      </w:pPr>
    </w:lvl>
    <w:lvl w:ilvl="5" w:tplc="4009001B" w:tentative="1">
      <w:start w:val="1"/>
      <w:numFmt w:val="lowerRoman"/>
      <w:lvlText w:val="%6."/>
      <w:lvlJc w:val="right"/>
      <w:pPr>
        <w:ind w:left="4811" w:hanging="180"/>
      </w:pPr>
    </w:lvl>
    <w:lvl w:ilvl="6" w:tplc="4009000F" w:tentative="1">
      <w:start w:val="1"/>
      <w:numFmt w:val="decimal"/>
      <w:lvlText w:val="%7."/>
      <w:lvlJc w:val="left"/>
      <w:pPr>
        <w:ind w:left="5531" w:hanging="360"/>
      </w:pPr>
    </w:lvl>
    <w:lvl w:ilvl="7" w:tplc="40090019" w:tentative="1">
      <w:start w:val="1"/>
      <w:numFmt w:val="lowerLetter"/>
      <w:lvlText w:val="%8."/>
      <w:lvlJc w:val="left"/>
      <w:pPr>
        <w:ind w:left="6251" w:hanging="360"/>
      </w:pPr>
    </w:lvl>
    <w:lvl w:ilvl="8" w:tplc="4009001B" w:tentative="1">
      <w:start w:val="1"/>
      <w:numFmt w:val="lowerRoman"/>
      <w:lvlText w:val="%9."/>
      <w:lvlJc w:val="right"/>
      <w:pPr>
        <w:ind w:left="6971" w:hanging="180"/>
      </w:pPr>
    </w:lvl>
  </w:abstractNum>
  <w:abstractNum w:abstractNumId="3" w15:restartNumberingAfterBreak="0">
    <w:nsid w:val="319D11B5"/>
    <w:multiLevelType w:val="hybridMultilevel"/>
    <w:tmpl w:val="9C10AEE8"/>
    <w:lvl w:ilvl="0" w:tplc="765C167A">
      <w:start w:val="1"/>
      <w:numFmt w:val="upperRoman"/>
      <w:lvlText w:val="%1."/>
      <w:lvlJc w:val="right"/>
      <w:pPr>
        <w:ind w:left="720" w:hanging="360"/>
      </w:pPr>
      <w:rPr>
        <w:rFonts w:hint="default"/>
        <w:b/>
        <w:bCs/>
      </w:rPr>
    </w:lvl>
    <w:lvl w:ilvl="1" w:tplc="E3C82750">
      <w:start w:val="1"/>
      <w:numFmt w:val="decimal"/>
      <w:lvlText w:val="%2."/>
      <w:lvlJc w:val="left"/>
      <w:pPr>
        <w:ind w:left="1440" w:hanging="360"/>
      </w:pPr>
      <w:rPr>
        <w:b/>
        <w:bCs/>
      </w:rPr>
    </w:lvl>
    <w:lvl w:ilvl="2" w:tplc="4009001B">
      <w:start w:val="1"/>
      <w:numFmt w:val="lowerRoman"/>
      <w:lvlText w:val="%3."/>
      <w:lvlJc w:val="right"/>
      <w:pPr>
        <w:ind w:left="2160" w:hanging="180"/>
      </w:pPr>
    </w:lvl>
    <w:lvl w:ilvl="3" w:tplc="AB5EB65E">
      <w:start w:val="1"/>
      <w:numFmt w:val="bullet"/>
      <w:lvlText w:val="-"/>
      <w:lvlJc w:val="left"/>
      <w:pPr>
        <w:ind w:left="1056" w:hanging="360"/>
      </w:pPr>
      <w:rPr>
        <w:rFonts w:ascii="EYInterstate Light" w:eastAsiaTheme="minorHAnsi" w:hAnsi="EYInterstate Light" w:cs="Calibri" w:hint="default"/>
      </w:rPr>
    </w:lvl>
    <w:lvl w:ilvl="4" w:tplc="40090019">
      <w:start w:val="1"/>
      <w:numFmt w:val="lowerLetter"/>
      <w:lvlText w:val="%5."/>
      <w:lvlJc w:val="left"/>
      <w:pPr>
        <w:ind w:left="3600" w:hanging="360"/>
      </w:pPr>
    </w:lvl>
    <w:lvl w:ilvl="5" w:tplc="7D3E49E8">
      <w:start w:val="1"/>
      <w:numFmt w:val="lowerLetter"/>
      <w:lvlText w:val="%6)"/>
      <w:lvlJc w:val="left"/>
      <w:pPr>
        <w:ind w:left="4500" w:hanging="360"/>
      </w:pPr>
      <w:rPr>
        <w:rFonts w:hint="default"/>
      </w:rPr>
    </w:lvl>
    <w:lvl w:ilvl="6" w:tplc="ED80C9A6">
      <w:start w:val="1"/>
      <w:numFmt w:val="lowerRoman"/>
      <w:lvlText w:val="(%7)"/>
      <w:lvlJc w:val="left"/>
      <w:pPr>
        <w:ind w:left="5400" w:hanging="720"/>
      </w:pPr>
      <w:rPr>
        <w:rFonts w:hint="default"/>
      </w:r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2A43CAF"/>
    <w:multiLevelType w:val="hybridMultilevel"/>
    <w:tmpl w:val="AF10AC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7BE0A55"/>
    <w:multiLevelType w:val="hybridMultilevel"/>
    <w:tmpl w:val="2FF063E6"/>
    <w:lvl w:ilvl="0" w:tplc="40090001">
      <w:start w:val="1"/>
      <w:numFmt w:val="bullet"/>
      <w:lvlText w:val=""/>
      <w:lvlJc w:val="left"/>
      <w:pPr>
        <w:ind w:left="1429" w:hanging="360"/>
      </w:pPr>
      <w:rPr>
        <w:rFonts w:ascii="Symbol" w:hAnsi="Symbol" w:hint="default"/>
      </w:rPr>
    </w:lvl>
    <w:lvl w:ilvl="1" w:tplc="40090003">
      <w:start w:val="1"/>
      <w:numFmt w:val="bullet"/>
      <w:lvlText w:val="o"/>
      <w:lvlJc w:val="left"/>
      <w:pPr>
        <w:ind w:left="2149" w:hanging="360"/>
      </w:pPr>
      <w:rPr>
        <w:rFonts w:ascii="Courier New" w:hAnsi="Courier New" w:cs="Courier New" w:hint="default"/>
      </w:rPr>
    </w:lvl>
    <w:lvl w:ilvl="2" w:tplc="40090005" w:tentative="1">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6" w15:restartNumberingAfterBreak="0">
    <w:nsid w:val="4A544557"/>
    <w:multiLevelType w:val="multilevel"/>
    <w:tmpl w:val="A0C08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B14BBC"/>
    <w:multiLevelType w:val="hybridMultilevel"/>
    <w:tmpl w:val="680AD8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58950D35"/>
    <w:multiLevelType w:val="multilevel"/>
    <w:tmpl w:val="DE366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F4604"/>
    <w:multiLevelType w:val="multilevel"/>
    <w:tmpl w:val="6F548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C462A8"/>
    <w:multiLevelType w:val="hybridMultilevel"/>
    <w:tmpl w:val="047EB194"/>
    <w:lvl w:ilvl="0" w:tplc="7D6ADEF2">
      <w:start w:val="1"/>
      <w:numFmt w:val="bullet"/>
      <w:lvlText w:val="►"/>
      <w:lvlJc w:val="left"/>
      <w:pPr>
        <w:ind w:left="720" w:hanging="360"/>
      </w:pPr>
      <w:rPr>
        <w:rFonts w:ascii="Arial" w:hAnsi="Arial" w:cs="Times New Roman" w:hint="default"/>
        <w:color w:val="FFC000"/>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6D5C403C"/>
    <w:multiLevelType w:val="multilevel"/>
    <w:tmpl w:val="11D6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73332E"/>
    <w:multiLevelType w:val="multilevel"/>
    <w:tmpl w:val="66BA4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9249944">
    <w:abstractNumId w:val="3"/>
  </w:num>
  <w:num w:numId="2" w16cid:durableId="229968771">
    <w:abstractNumId w:val="5"/>
  </w:num>
  <w:num w:numId="3" w16cid:durableId="1383552864">
    <w:abstractNumId w:val="4"/>
  </w:num>
  <w:num w:numId="4" w16cid:durableId="1338651440">
    <w:abstractNumId w:val="2"/>
  </w:num>
  <w:num w:numId="5" w16cid:durableId="213666282">
    <w:abstractNumId w:val="7"/>
  </w:num>
  <w:num w:numId="6" w16cid:durableId="1008824880">
    <w:abstractNumId w:val="1"/>
  </w:num>
  <w:num w:numId="7" w16cid:durableId="1369380996">
    <w:abstractNumId w:val="0"/>
  </w:num>
  <w:num w:numId="8" w16cid:durableId="161511811">
    <w:abstractNumId w:val="6"/>
  </w:num>
  <w:num w:numId="9" w16cid:durableId="1287155440">
    <w:abstractNumId w:val="12"/>
  </w:num>
  <w:num w:numId="10" w16cid:durableId="1264335914">
    <w:abstractNumId w:val="8"/>
  </w:num>
  <w:num w:numId="11" w16cid:durableId="55517639">
    <w:abstractNumId w:val="11"/>
  </w:num>
  <w:num w:numId="12" w16cid:durableId="218367993">
    <w:abstractNumId w:val="10"/>
  </w:num>
  <w:num w:numId="13" w16cid:durableId="1265378710">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020"/>
    <w:rsid w:val="00006464"/>
    <w:rsid w:val="00015E18"/>
    <w:rsid w:val="000200EE"/>
    <w:rsid w:val="00025D9B"/>
    <w:rsid w:val="00027CF4"/>
    <w:rsid w:val="00035C1C"/>
    <w:rsid w:val="00041B71"/>
    <w:rsid w:val="00041ECB"/>
    <w:rsid w:val="00043C1C"/>
    <w:rsid w:val="00046905"/>
    <w:rsid w:val="0005134D"/>
    <w:rsid w:val="000518C8"/>
    <w:rsid w:val="00055BDD"/>
    <w:rsid w:val="00076C41"/>
    <w:rsid w:val="00086BCF"/>
    <w:rsid w:val="000979A3"/>
    <w:rsid w:val="000C65D3"/>
    <w:rsid w:val="000D0745"/>
    <w:rsid w:val="000D3B8E"/>
    <w:rsid w:val="000F7236"/>
    <w:rsid w:val="001029D1"/>
    <w:rsid w:val="00102FC8"/>
    <w:rsid w:val="0010303B"/>
    <w:rsid w:val="0010459F"/>
    <w:rsid w:val="0010772F"/>
    <w:rsid w:val="001116C6"/>
    <w:rsid w:val="00146EA5"/>
    <w:rsid w:val="001471A9"/>
    <w:rsid w:val="00150D49"/>
    <w:rsid w:val="00162BDA"/>
    <w:rsid w:val="00172A74"/>
    <w:rsid w:val="00173C87"/>
    <w:rsid w:val="00180A6D"/>
    <w:rsid w:val="0019344F"/>
    <w:rsid w:val="00193B95"/>
    <w:rsid w:val="00196CA1"/>
    <w:rsid w:val="001A3157"/>
    <w:rsid w:val="001A39FB"/>
    <w:rsid w:val="001B26E9"/>
    <w:rsid w:val="001C0B1D"/>
    <w:rsid w:val="001F27F8"/>
    <w:rsid w:val="00201DE4"/>
    <w:rsid w:val="00204B5F"/>
    <w:rsid w:val="00211ECA"/>
    <w:rsid w:val="00216179"/>
    <w:rsid w:val="002173FE"/>
    <w:rsid w:val="002206F6"/>
    <w:rsid w:val="00220B9E"/>
    <w:rsid w:val="0024716D"/>
    <w:rsid w:val="00250FA2"/>
    <w:rsid w:val="002525A4"/>
    <w:rsid w:val="00261A55"/>
    <w:rsid w:val="002870F1"/>
    <w:rsid w:val="002B15A0"/>
    <w:rsid w:val="002B5829"/>
    <w:rsid w:val="002C54E2"/>
    <w:rsid w:val="002C595A"/>
    <w:rsid w:val="002C7878"/>
    <w:rsid w:val="002D4FDB"/>
    <w:rsid w:val="002E0C50"/>
    <w:rsid w:val="002F101E"/>
    <w:rsid w:val="002F18C3"/>
    <w:rsid w:val="002F49C5"/>
    <w:rsid w:val="00300E7D"/>
    <w:rsid w:val="00306242"/>
    <w:rsid w:val="00306D72"/>
    <w:rsid w:val="003203E4"/>
    <w:rsid w:val="00336E80"/>
    <w:rsid w:val="0034372C"/>
    <w:rsid w:val="003505E6"/>
    <w:rsid w:val="00377377"/>
    <w:rsid w:val="0038193C"/>
    <w:rsid w:val="003838AC"/>
    <w:rsid w:val="003A4507"/>
    <w:rsid w:val="003A471C"/>
    <w:rsid w:val="003D616F"/>
    <w:rsid w:val="003E1576"/>
    <w:rsid w:val="003E23D3"/>
    <w:rsid w:val="003E34FB"/>
    <w:rsid w:val="003F4433"/>
    <w:rsid w:val="00400FE0"/>
    <w:rsid w:val="0041174E"/>
    <w:rsid w:val="00417BAD"/>
    <w:rsid w:val="00421705"/>
    <w:rsid w:val="00432B26"/>
    <w:rsid w:val="00436BB5"/>
    <w:rsid w:val="00473566"/>
    <w:rsid w:val="00474C8F"/>
    <w:rsid w:val="00475B52"/>
    <w:rsid w:val="00486DCC"/>
    <w:rsid w:val="00495B6F"/>
    <w:rsid w:val="00495B9E"/>
    <w:rsid w:val="004A08E8"/>
    <w:rsid w:val="004A1195"/>
    <w:rsid w:val="004B7886"/>
    <w:rsid w:val="004E6B56"/>
    <w:rsid w:val="004F115D"/>
    <w:rsid w:val="004F2D4E"/>
    <w:rsid w:val="004F2FE9"/>
    <w:rsid w:val="004F3DE5"/>
    <w:rsid w:val="005249D2"/>
    <w:rsid w:val="00534DAA"/>
    <w:rsid w:val="00545DD3"/>
    <w:rsid w:val="0054713B"/>
    <w:rsid w:val="005624D1"/>
    <w:rsid w:val="005631BF"/>
    <w:rsid w:val="00585F5E"/>
    <w:rsid w:val="0059605A"/>
    <w:rsid w:val="005B2A01"/>
    <w:rsid w:val="005D7962"/>
    <w:rsid w:val="005E00EB"/>
    <w:rsid w:val="005E2FAB"/>
    <w:rsid w:val="005E730C"/>
    <w:rsid w:val="005F198D"/>
    <w:rsid w:val="005F3EDC"/>
    <w:rsid w:val="006116C6"/>
    <w:rsid w:val="006216AB"/>
    <w:rsid w:val="006270CF"/>
    <w:rsid w:val="00633A4F"/>
    <w:rsid w:val="0064303E"/>
    <w:rsid w:val="006561F1"/>
    <w:rsid w:val="00657989"/>
    <w:rsid w:val="00661AAF"/>
    <w:rsid w:val="00677353"/>
    <w:rsid w:val="0068212E"/>
    <w:rsid w:val="00683CAA"/>
    <w:rsid w:val="006C17E1"/>
    <w:rsid w:val="006C372E"/>
    <w:rsid w:val="006F1359"/>
    <w:rsid w:val="0071079A"/>
    <w:rsid w:val="007117EE"/>
    <w:rsid w:val="0071792B"/>
    <w:rsid w:val="0072074C"/>
    <w:rsid w:val="00722F64"/>
    <w:rsid w:val="007360CF"/>
    <w:rsid w:val="00741904"/>
    <w:rsid w:val="007634ED"/>
    <w:rsid w:val="007750F7"/>
    <w:rsid w:val="007776E5"/>
    <w:rsid w:val="007B0FEF"/>
    <w:rsid w:val="007C70C2"/>
    <w:rsid w:val="007D70E1"/>
    <w:rsid w:val="007E7004"/>
    <w:rsid w:val="007F08CD"/>
    <w:rsid w:val="007F3F60"/>
    <w:rsid w:val="00801014"/>
    <w:rsid w:val="008018BB"/>
    <w:rsid w:val="00811A17"/>
    <w:rsid w:val="008149DA"/>
    <w:rsid w:val="00825550"/>
    <w:rsid w:val="00860EC5"/>
    <w:rsid w:val="00864EA6"/>
    <w:rsid w:val="00866106"/>
    <w:rsid w:val="00866C6A"/>
    <w:rsid w:val="008672FA"/>
    <w:rsid w:val="00887A68"/>
    <w:rsid w:val="008B7671"/>
    <w:rsid w:val="008E553C"/>
    <w:rsid w:val="008F56A9"/>
    <w:rsid w:val="008F73CA"/>
    <w:rsid w:val="00902F70"/>
    <w:rsid w:val="00913B70"/>
    <w:rsid w:val="009355B3"/>
    <w:rsid w:val="009426F5"/>
    <w:rsid w:val="00961320"/>
    <w:rsid w:val="00962BB8"/>
    <w:rsid w:val="00966A8A"/>
    <w:rsid w:val="00971A97"/>
    <w:rsid w:val="009725B5"/>
    <w:rsid w:val="00995BFB"/>
    <w:rsid w:val="009C11F2"/>
    <w:rsid w:val="009C57CC"/>
    <w:rsid w:val="009C5823"/>
    <w:rsid w:val="009E7583"/>
    <w:rsid w:val="00A1609F"/>
    <w:rsid w:val="00A210E3"/>
    <w:rsid w:val="00A22568"/>
    <w:rsid w:val="00A2281B"/>
    <w:rsid w:val="00A23B58"/>
    <w:rsid w:val="00A46FD4"/>
    <w:rsid w:val="00A62CE6"/>
    <w:rsid w:val="00A630A0"/>
    <w:rsid w:val="00A66DF7"/>
    <w:rsid w:val="00A7388C"/>
    <w:rsid w:val="00A73BA1"/>
    <w:rsid w:val="00A85823"/>
    <w:rsid w:val="00A85E4F"/>
    <w:rsid w:val="00A92849"/>
    <w:rsid w:val="00AA7313"/>
    <w:rsid w:val="00AB08BE"/>
    <w:rsid w:val="00AB095C"/>
    <w:rsid w:val="00AC028F"/>
    <w:rsid w:val="00AC06D0"/>
    <w:rsid w:val="00AC34D9"/>
    <w:rsid w:val="00AE2560"/>
    <w:rsid w:val="00AE2FBE"/>
    <w:rsid w:val="00AF576F"/>
    <w:rsid w:val="00B0034F"/>
    <w:rsid w:val="00B01DD1"/>
    <w:rsid w:val="00B224BE"/>
    <w:rsid w:val="00B31020"/>
    <w:rsid w:val="00B44A1D"/>
    <w:rsid w:val="00B61FCB"/>
    <w:rsid w:val="00BA770C"/>
    <w:rsid w:val="00BC367C"/>
    <w:rsid w:val="00BC68D5"/>
    <w:rsid w:val="00BD0CE6"/>
    <w:rsid w:val="00BE6840"/>
    <w:rsid w:val="00BE6841"/>
    <w:rsid w:val="00C051D7"/>
    <w:rsid w:val="00C079E1"/>
    <w:rsid w:val="00C15EEB"/>
    <w:rsid w:val="00C17D2E"/>
    <w:rsid w:val="00C201DA"/>
    <w:rsid w:val="00C34373"/>
    <w:rsid w:val="00C50B37"/>
    <w:rsid w:val="00C627FE"/>
    <w:rsid w:val="00C66441"/>
    <w:rsid w:val="00C67DCC"/>
    <w:rsid w:val="00C71E57"/>
    <w:rsid w:val="00C755D4"/>
    <w:rsid w:val="00C774D4"/>
    <w:rsid w:val="00C77D8B"/>
    <w:rsid w:val="00CB0EE7"/>
    <w:rsid w:val="00CB1A28"/>
    <w:rsid w:val="00CC1E55"/>
    <w:rsid w:val="00CC330B"/>
    <w:rsid w:val="00CD135E"/>
    <w:rsid w:val="00CD1DD6"/>
    <w:rsid w:val="00CE7293"/>
    <w:rsid w:val="00CE77DB"/>
    <w:rsid w:val="00CF17C9"/>
    <w:rsid w:val="00D04A97"/>
    <w:rsid w:val="00D068D5"/>
    <w:rsid w:val="00D1499C"/>
    <w:rsid w:val="00D31EA9"/>
    <w:rsid w:val="00D35E07"/>
    <w:rsid w:val="00D7015F"/>
    <w:rsid w:val="00D73F8D"/>
    <w:rsid w:val="00D84BE5"/>
    <w:rsid w:val="00D85D73"/>
    <w:rsid w:val="00D87198"/>
    <w:rsid w:val="00D93D0F"/>
    <w:rsid w:val="00DB19A6"/>
    <w:rsid w:val="00DB2053"/>
    <w:rsid w:val="00DD37C1"/>
    <w:rsid w:val="00DE357A"/>
    <w:rsid w:val="00DE4BF0"/>
    <w:rsid w:val="00DE559D"/>
    <w:rsid w:val="00DE62E1"/>
    <w:rsid w:val="00DF02F6"/>
    <w:rsid w:val="00DF2246"/>
    <w:rsid w:val="00DF7648"/>
    <w:rsid w:val="00E0182A"/>
    <w:rsid w:val="00E04612"/>
    <w:rsid w:val="00E1389E"/>
    <w:rsid w:val="00E13B19"/>
    <w:rsid w:val="00E165B4"/>
    <w:rsid w:val="00E20AFD"/>
    <w:rsid w:val="00E34A22"/>
    <w:rsid w:val="00E34F2A"/>
    <w:rsid w:val="00E40C30"/>
    <w:rsid w:val="00E44EF7"/>
    <w:rsid w:val="00E5673E"/>
    <w:rsid w:val="00E6406F"/>
    <w:rsid w:val="00E65E13"/>
    <w:rsid w:val="00E66F8A"/>
    <w:rsid w:val="00E75C2A"/>
    <w:rsid w:val="00E96350"/>
    <w:rsid w:val="00EB13E9"/>
    <w:rsid w:val="00EB4436"/>
    <w:rsid w:val="00EC48F1"/>
    <w:rsid w:val="00ED35C3"/>
    <w:rsid w:val="00EE3341"/>
    <w:rsid w:val="00EF2237"/>
    <w:rsid w:val="00F02924"/>
    <w:rsid w:val="00F04D3B"/>
    <w:rsid w:val="00F10662"/>
    <w:rsid w:val="00F11219"/>
    <w:rsid w:val="00F14C58"/>
    <w:rsid w:val="00F207B8"/>
    <w:rsid w:val="00F2299D"/>
    <w:rsid w:val="00F3273C"/>
    <w:rsid w:val="00F438C8"/>
    <w:rsid w:val="00F450DA"/>
    <w:rsid w:val="00F51CBE"/>
    <w:rsid w:val="00F755C3"/>
    <w:rsid w:val="00F95866"/>
    <w:rsid w:val="00FB36FD"/>
    <w:rsid w:val="00FB49EA"/>
    <w:rsid w:val="00FC7789"/>
    <w:rsid w:val="00FD46D8"/>
    <w:rsid w:val="00FD71F9"/>
    <w:rsid w:val="00FE12C8"/>
    <w:rsid w:val="00FE1F8F"/>
    <w:rsid w:val="024834FE"/>
    <w:rsid w:val="1184D635"/>
    <w:rsid w:val="2A10876F"/>
    <w:rsid w:val="2EF89817"/>
    <w:rsid w:val="5382E79D"/>
    <w:rsid w:val="53D42D10"/>
    <w:rsid w:val="5974958A"/>
    <w:rsid w:val="6E7BE5B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5A081"/>
  <w15:chartTrackingRefBased/>
  <w15:docId w15:val="{EF5E5985-BE75-4EC2-B924-1473D226A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020"/>
    <w:rPr>
      <w:szCs w:val="20"/>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1020"/>
    <w:pPr>
      <w:ind w:left="720"/>
      <w:contextualSpacing/>
    </w:pPr>
  </w:style>
  <w:style w:type="table" w:styleId="TableGrid">
    <w:name w:val="Table Grid"/>
    <w:basedOn w:val="TableNormal"/>
    <w:uiPriority w:val="39"/>
    <w:rsid w:val="00B31020"/>
    <w:pPr>
      <w:spacing w:after="0" w:line="240" w:lineRule="auto"/>
    </w:pPr>
    <w:rPr>
      <w:szCs w:val="20"/>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310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020"/>
    <w:rPr>
      <w:szCs w:val="20"/>
      <w:lang w:bidi="hi-IN"/>
    </w:rPr>
  </w:style>
  <w:style w:type="paragraph" w:styleId="Footer">
    <w:name w:val="footer"/>
    <w:basedOn w:val="Normal"/>
    <w:link w:val="FooterChar"/>
    <w:uiPriority w:val="99"/>
    <w:unhideWhenUsed/>
    <w:rsid w:val="00B310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020"/>
    <w:rPr>
      <w:szCs w:val="20"/>
      <w:lang w:bidi="hi-IN"/>
    </w:rPr>
  </w:style>
  <w:style w:type="character" w:customStyle="1" w:styleId="ui-provider">
    <w:name w:val="ui-provider"/>
    <w:basedOn w:val="DefaultParagraphFont"/>
    <w:rsid w:val="00B31020"/>
  </w:style>
  <w:style w:type="paragraph" w:styleId="NormalWeb">
    <w:name w:val="Normal (Web)"/>
    <w:basedOn w:val="Normal"/>
    <w:uiPriority w:val="99"/>
    <w:unhideWhenUsed/>
    <w:rsid w:val="00B31020"/>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character" w:customStyle="1" w:styleId="fui-primitive">
    <w:name w:val="fui-primitive"/>
    <w:basedOn w:val="DefaultParagraphFont"/>
    <w:rsid w:val="00B31020"/>
  </w:style>
  <w:style w:type="character" w:styleId="Hyperlink">
    <w:name w:val="Hyperlink"/>
    <w:basedOn w:val="DefaultParagraphFont"/>
    <w:uiPriority w:val="99"/>
    <w:unhideWhenUsed/>
    <w:rsid w:val="00B31020"/>
    <w:rPr>
      <w:color w:val="0563C1" w:themeColor="hyperlink"/>
      <w:u w:val="single"/>
    </w:rPr>
  </w:style>
  <w:style w:type="character" w:styleId="UnresolvedMention">
    <w:name w:val="Unresolved Mention"/>
    <w:basedOn w:val="DefaultParagraphFont"/>
    <w:uiPriority w:val="99"/>
    <w:semiHidden/>
    <w:unhideWhenUsed/>
    <w:rsid w:val="00B31020"/>
    <w:rPr>
      <w:color w:val="605E5C"/>
      <w:shd w:val="clear" w:color="auto" w:fill="E1DFDD"/>
    </w:rPr>
  </w:style>
  <w:style w:type="paragraph" w:customStyle="1" w:styleId="tx">
    <w:name w:val="tx"/>
    <w:basedOn w:val="Normal"/>
    <w:rsid w:val="00B31020"/>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customStyle="1" w:styleId="indent1">
    <w:name w:val="indent1"/>
    <w:basedOn w:val="Normal"/>
    <w:rsid w:val="00B31020"/>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customStyle="1" w:styleId="indent2">
    <w:name w:val="indent2"/>
    <w:basedOn w:val="Normal"/>
    <w:rsid w:val="00B31020"/>
    <w:pPr>
      <w:spacing w:before="100" w:beforeAutospacing="1" w:after="100" w:afterAutospacing="1" w:line="240" w:lineRule="auto"/>
    </w:pPr>
    <w:rPr>
      <w:rFonts w:ascii="Times New Roman" w:eastAsia="Times New Roman" w:hAnsi="Times New Roman" w:cs="Times New Roman"/>
      <w:sz w:val="24"/>
      <w:szCs w:val="24"/>
      <w:lang w:eastAsia="en-IN" w:bidi="ar-SA"/>
    </w:rPr>
  </w:style>
  <w:style w:type="paragraph" w:styleId="Revision">
    <w:name w:val="Revision"/>
    <w:hidden/>
    <w:uiPriority w:val="99"/>
    <w:semiHidden/>
    <w:rsid w:val="001F27F8"/>
    <w:pPr>
      <w:spacing w:after="0" w:line="240" w:lineRule="auto"/>
    </w:pPr>
    <w:rPr>
      <w:szCs w:val="20"/>
      <w:lang w:bidi="hi-IN"/>
    </w:rPr>
  </w:style>
  <w:style w:type="paragraph" w:styleId="CommentText">
    <w:name w:val="annotation text"/>
    <w:basedOn w:val="Normal"/>
    <w:link w:val="CommentTextChar"/>
    <w:uiPriority w:val="99"/>
    <w:semiHidden/>
    <w:unhideWhenUsed/>
    <w:pPr>
      <w:spacing w:line="240" w:lineRule="auto"/>
    </w:pPr>
    <w:rPr>
      <w:sz w:val="20"/>
      <w:szCs w:val="18"/>
    </w:rPr>
  </w:style>
  <w:style w:type="character" w:customStyle="1" w:styleId="CommentTextChar">
    <w:name w:val="Comment Text Char"/>
    <w:basedOn w:val="DefaultParagraphFont"/>
    <w:link w:val="CommentText"/>
    <w:uiPriority w:val="99"/>
    <w:semiHidden/>
    <w:rPr>
      <w:sz w:val="20"/>
      <w:szCs w:val="18"/>
      <w:lang w:bidi="hi-IN"/>
    </w:rPr>
  </w:style>
  <w:style w:type="character" w:styleId="CommentReference">
    <w:name w:val="annotation reference"/>
    <w:basedOn w:val="DefaultParagraphFont"/>
    <w:uiPriority w:val="99"/>
    <w:semiHidden/>
    <w:unhideWhenUsed/>
    <w:rPr>
      <w:sz w:val="16"/>
      <w:szCs w:val="16"/>
    </w:rPr>
  </w:style>
  <w:style w:type="character" w:styleId="Strong">
    <w:name w:val="Strong"/>
    <w:basedOn w:val="DefaultParagraphFont"/>
    <w:uiPriority w:val="22"/>
    <w:qFormat/>
    <w:rsid w:val="00E34F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28188">
      <w:bodyDiv w:val="1"/>
      <w:marLeft w:val="0"/>
      <w:marRight w:val="0"/>
      <w:marTop w:val="0"/>
      <w:marBottom w:val="0"/>
      <w:divBdr>
        <w:top w:val="none" w:sz="0" w:space="0" w:color="auto"/>
        <w:left w:val="none" w:sz="0" w:space="0" w:color="auto"/>
        <w:bottom w:val="none" w:sz="0" w:space="0" w:color="auto"/>
        <w:right w:val="none" w:sz="0" w:space="0" w:color="auto"/>
      </w:divBdr>
    </w:div>
    <w:div w:id="77603475">
      <w:bodyDiv w:val="1"/>
      <w:marLeft w:val="0"/>
      <w:marRight w:val="0"/>
      <w:marTop w:val="0"/>
      <w:marBottom w:val="0"/>
      <w:divBdr>
        <w:top w:val="none" w:sz="0" w:space="0" w:color="auto"/>
        <w:left w:val="none" w:sz="0" w:space="0" w:color="auto"/>
        <w:bottom w:val="none" w:sz="0" w:space="0" w:color="auto"/>
        <w:right w:val="none" w:sz="0" w:space="0" w:color="auto"/>
      </w:divBdr>
    </w:div>
    <w:div w:id="108090802">
      <w:bodyDiv w:val="1"/>
      <w:marLeft w:val="0"/>
      <w:marRight w:val="0"/>
      <w:marTop w:val="0"/>
      <w:marBottom w:val="0"/>
      <w:divBdr>
        <w:top w:val="none" w:sz="0" w:space="0" w:color="auto"/>
        <w:left w:val="none" w:sz="0" w:space="0" w:color="auto"/>
        <w:bottom w:val="none" w:sz="0" w:space="0" w:color="auto"/>
        <w:right w:val="none" w:sz="0" w:space="0" w:color="auto"/>
      </w:divBdr>
    </w:div>
    <w:div w:id="177238616">
      <w:bodyDiv w:val="1"/>
      <w:marLeft w:val="0"/>
      <w:marRight w:val="0"/>
      <w:marTop w:val="0"/>
      <w:marBottom w:val="0"/>
      <w:divBdr>
        <w:top w:val="none" w:sz="0" w:space="0" w:color="auto"/>
        <w:left w:val="none" w:sz="0" w:space="0" w:color="auto"/>
        <w:bottom w:val="none" w:sz="0" w:space="0" w:color="auto"/>
        <w:right w:val="none" w:sz="0" w:space="0" w:color="auto"/>
      </w:divBdr>
    </w:div>
    <w:div w:id="287010783">
      <w:bodyDiv w:val="1"/>
      <w:marLeft w:val="0"/>
      <w:marRight w:val="0"/>
      <w:marTop w:val="0"/>
      <w:marBottom w:val="0"/>
      <w:divBdr>
        <w:top w:val="none" w:sz="0" w:space="0" w:color="auto"/>
        <w:left w:val="none" w:sz="0" w:space="0" w:color="auto"/>
        <w:bottom w:val="none" w:sz="0" w:space="0" w:color="auto"/>
        <w:right w:val="none" w:sz="0" w:space="0" w:color="auto"/>
      </w:divBdr>
    </w:div>
    <w:div w:id="412550236">
      <w:bodyDiv w:val="1"/>
      <w:marLeft w:val="0"/>
      <w:marRight w:val="0"/>
      <w:marTop w:val="0"/>
      <w:marBottom w:val="0"/>
      <w:divBdr>
        <w:top w:val="none" w:sz="0" w:space="0" w:color="auto"/>
        <w:left w:val="none" w:sz="0" w:space="0" w:color="auto"/>
        <w:bottom w:val="none" w:sz="0" w:space="0" w:color="auto"/>
        <w:right w:val="none" w:sz="0" w:space="0" w:color="auto"/>
      </w:divBdr>
    </w:div>
    <w:div w:id="525019494">
      <w:bodyDiv w:val="1"/>
      <w:marLeft w:val="0"/>
      <w:marRight w:val="0"/>
      <w:marTop w:val="0"/>
      <w:marBottom w:val="0"/>
      <w:divBdr>
        <w:top w:val="none" w:sz="0" w:space="0" w:color="auto"/>
        <w:left w:val="none" w:sz="0" w:space="0" w:color="auto"/>
        <w:bottom w:val="none" w:sz="0" w:space="0" w:color="auto"/>
        <w:right w:val="none" w:sz="0" w:space="0" w:color="auto"/>
      </w:divBdr>
    </w:div>
    <w:div w:id="589311413">
      <w:bodyDiv w:val="1"/>
      <w:marLeft w:val="0"/>
      <w:marRight w:val="0"/>
      <w:marTop w:val="0"/>
      <w:marBottom w:val="0"/>
      <w:divBdr>
        <w:top w:val="none" w:sz="0" w:space="0" w:color="auto"/>
        <w:left w:val="none" w:sz="0" w:space="0" w:color="auto"/>
        <w:bottom w:val="none" w:sz="0" w:space="0" w:color="auto"/>
        <w:right w:val="none" w:sz="0" w:space="0" w:color="auto"/>
      </w:divBdr>
    </w:div>
    <w:div w:id="601305201">
      <w:bodyDiv w:val="1"/>
      <w:marLeft w:val="0"/>
      <w:marRight w:val="0"/>
      <w:marTop w:val="0"/>
      <w:marBottom w:val="0"/>
      <w:divBdr>
        <w:top w:val="none" w:sz="0" w:space="0" w:color="auto"/>
        <w:left w:val="none" w:sz="0" w:space="0" w:color="auto"/>
        <w:bottom w:val="none" w:sz="0" w:space="0" w:color="auto"/>
        <w:right w:val="none" w:sz="0" w:space="0" w:color="auto"/>
      </w:divBdr>
    </w:div>
    <w:div w:id="692419758">
      <w:bodyDiv w:val="1"/>
      <w:marLeft w:val="0"/>
      <w:marRight w:val="0"/>
      <w:marTop w:val="0"/>
      <w:marBottom w:val="0"/>
      <w:divBdr>
        <w:top w:val="none" w:sz="0" w:space="0" w:color="auto"/>
        <w:left w:val="none" w:sz="0" w:space="0" w:color="auto"/>
        <w:bottom w:val="none" w:sz="0" w:space="0" w:color="auto"/>
        <w:right w:val="none" w:sz="0" w:space="0" w:color="auto"/>
      </w:divBdr>
    </w:div>
    <w:div w:id="707266637">
      <w:bodyDiv w:val="1"/>
      <w:marLeft w:val="0"/>
      <w:marRight w:val="0"/>
      <w:marTop w:val="0"/>
      <w:marBottom w:val="0"/>
      <w:divBdr>
        <w:top w:val="none" w:sz="0" w:space="0" w:color="auto"/>
        <w:left w:val="none" w:sz="0" w:space="0" w:color="auto"/>
        <w:bottom w:val="none" w:sz="0" w:space="0" w:color="auto"/>
        <w:right w:val="none" w:sz="0" w:space="0" w:color="auto"/>
      </w:divBdr>
    </w:div>
    <w:div w:id="749697360">
      <w:bodyDiv w:val="1"/>
      <w:marLeft w:val="0"/>
      <w:marRight w:val="0"/>
      <w:marTop w:val="0"/>
      <w:marBottom w:val="0"/>
      <w:divBdr>
        <w:top w:val="none" w:sz="0" w:space="0" w:color="auto"/>
        <w:left w:val="none" w:sz="0" w:space="0" w:color="auto"/>
        <w:bottom w:val="none" w:sz="0" w:space="0" w:color="auto"/>
        <w:right w:val="none" w:sz="0" w:space="0" w:color="auto"/>
      </w:divBdr>
    </w:div>
    <w:div w:id="767388629">
      <w:bodyDiv w:val="1"/>
      <w:marLeft w:val="0"/>
      <w:marRight w:val="0"/>
      <w:marTop w:val="0"/>
      <w:marBottom w:val="0"/>
      <w:divBdr>
        <w:top w:val="none" w:sz="0" w:space="0" w:color="auto"/>
        <w:left w:val="none" w:sz="0" w:space="0" w:color="auto"/>
        <w:bottom w:val="none" w:sz="0" w:space="0" w:color="auto"/>
        <w:right w:val="none" w:sz="0" w:space="0" w:color="auto"/>
      </w:divBdr>
    </w:div>
    <w:div w:id="769206921">
      <w:bodyDiv w:val="1"/>
      <w:marLeft w:val="0"/>
      <w:marRight w:val="0"/>
      <w:marTop w:val="0"/>
      <w:marBottom w:val="0"/>
      <w:divBdr>
        <w:top w:val="none" w:sz="0" w:space="0" w:color="auto"/>
        <w:left w:val="none" w:sz="0" w:space="0" w:color="auto"/>
        <w:bottom w:val="none" w:sz="0" w:space="0" w:color="auto"/>
        <w:right w:val="none" w:sz="0" w:space="0" w:color="auto"/>
      </w:divBdr>
    </w:div>
    <w:div w:id="852764336">
      <w:bodyDiv w:val="1"/>
      <w:marLeft w:val="0"/>
      <w:marRight w:val="0"/>
      <w:marTop w:val="0"/>
      <w:marBottom w:val="0"/>
      <w:divBdr>
        <w:top w:val="none" w:sz="0" w:space="0" w:color="auto"/>
        <w:left w:val="none" w:sz="0" w:space="0" w:color="auto"/>
        <w:bottom w:val="none" w:sz="0" w:space="0" w:color="auto"/>
        <w:right w:val="none" w:sz="0" w:space="0" w:color="auto"/>
      </w:divBdr>
      <w:divsChild>
        <w:div w:id="1914703838">
          <w:marLeft w:val="0"/>
          <w:marRight w:val="0"/>
          <w:marTop w:val="0"/>
          <w:marBottom w:val="0"/>
          <w:divBdr>
            <w:top w:val="none" w:sz="0" w:space="0" w:color="auto"/>
            <w:left w:val="none" w:sz="0" w:space="0" w:color="auto"/>
            <w:bottom w:val="none" w:sz="0" w:space="0" w:color="auto"/>
            <w:right w:val="none" w:sz="0" w:space="0" w:color="auto"/>
          </w:divBdr>
          <w:divsChild>
            <w:div w:id="654837493">
              <w:marLeft w:val="0"/>
              <w:marRight w:val="0"/>
              <w:marTop w:val="0"/>
              <w:marBottom w:val="0"/>
              <w:divBdr>
                <w:top w:val="none" w:sz="0" w:space="0" w:color="auto"/>
                <w:left w:val="none" w:sz="0" w:space="0" w:color="auto"/>
                <w:bottom w:val="none" w:sz="0" w:space="0" w:color="auto"/>
                <w:right w:val="none" w:sz="0" w:space="0" w:color="auto"/>
              </w:divBdr>
              <w:divsChild>
                <w:div w:id="81221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173336">
      <w:bodyDiv w:val="1"/>
      <w:marLeft w:val="0"/>
      <w:marRight w:val="0"/>
      <w:marTop w:val="0"/>
      <w:marBottom w:val="0"/>
      <w:divBdr>
        <w:top w:val="none" w:sz="0" w:space="0" w:color="auto"/>
        <w:left w:val="none" w:sz="0" w:space="0" w:color="auto"/>
        <w:bottom w:val="none" w:sz="0" w:space="0" w:color="auto"/>
        <w:right w:val="none" w:sz="0" w:space="0" w:color="auto"/>
      </w:divBdr>
      <w:divsChild>
        <w:div w:id="403337422">
          <w:marLeft w:val="0"/>
          <w:marRight w:val="0"/>
          <w:marTop w:val="0"/>
          <w:marBottom w:val="0"/>
          <w:divBdr>
            <w:top w:val="none" w:sz="0" w:space="0" w:color="auto"/>
            <w:left w:val="none" w:sz="0" w:space="0" w:color="auto"/>
            <w:bottom w:val="none" w:sz="0" w:space="0" w:color="auto"/>
            <w:right w:val="none" w:sz="0" w:space="0" w:color="auto"/>
          </w:divBdr>
          <w:divsChild>
            <w:div w:id="1578176046">
              <w:marLeft w:val="0"/>
              <w:marRight w:val="0"/>
              <w:marTop w:val="0"/>
              <w:marBottom w:val="0"/>
              <w:divBdr>
                <w:top w:val="none" w:sz="0" w:space="0" w:color="auto"/>
                <w:left w:val="none" w:sz="0" w:space="0" w:color="auto"/>
                <w:bottom w:val="none" w:sz="0" w:space="0" w:color="auto"/>
                <w:right w:val="none" w:sz="0" w:space="0" w:color="auto"/>
              </w:divBdr>
              <w:divsChild>
                <w:div w:id="1719163736">
                  <w:marLeft w:val="0"/>
                  <w:marRight w:val="0"/>
                  <w:marTop w:val="0"/>
                  <w:marBottom w:val="0"/>
                  <w:divBdr>
                    <w:top w:val="none" w:sz="0" w:space="0" w:color="auto"/>
                    <w:left w:val="none" w:sz="0" w:space="0" w:color="auto"/>
                    <w:bottom w:val="none" w:sz="0" w:space="0" w:color="auto"/>
                    <w:right w:val="none" w:sz="0" w:space="0" w:color="auto"/>
                  </w:divBdr>
                  <w:divsChild>
                    <w:div w:id="622420901">
                      <w:marLeft w:val="0"/>
                      <w:marRight w:val="0"/>
                      <w:marTop w:val="0"/>
                      <w:marBottom w:val="0"/>
                      <w:divBdr>
                        <w:top w:val="none" w:sz="0" w:space="0" w:color="auto"/>
                        <w:left w:val="none" w:sz="0" w:space="0" w:color="auto"/>
                        <w:bottom w:val="none" w:sz="0" w:space="0" w:color="auto"/>
                        <w:right w:val="none" w:sz="0" w:space="0" w:color="auto"/>
                      </w:divBdr>
                      <w:divsChild>
                        <w:div w:id="1063676386">
                          <w:marLeft w:val="0"/>
                          <w:marRight w:val="0"/>
                          <w:marTop w:val="0"/>
                          <w:marBottom w:val="0"/>
                          <w:divBdr>
                            <w:top w:val="none" w:sz="0" w:space="0" w:color="auto"/>
                            <w:left w:val="none" w:sz="0" w:space="0" w:color="auto"/>
                            <w:bottom w:val="none" w:sz="0" w:space="0" w:color="auto"/>
                            <w:right w:val="none" w:sz="0" w:space="0" w:color="auto"/>
                          </w:divBdr>
                          <w:divsChild>
                            <w:div w:id="581180403">
                              <w:marLeft w:val="0"/>
                              <w:marRight w:val="0"/>
                              <w:marTop w:val="0"/>
                              <w:marBottom w:val="0"/>
                              <w:divBdr>
                                <w:top w:val="none" w:sz="0" w:space="0" w:color="auto"/>
                                <w:left w:val="none" w:sz="0" w:space="0" w:color="auto"/>
                                <w:bottom w:val="none" w:sz="0" w:space="0" w:color="auto"/>
                                <w:right w:val="none" w:sz="0" w:space="0" w:color="auto"/>
                              </w:divBdr>
                              <w:divsChild>
                                <w:div w:id="1878006460">
                                  <w:marLeft w:val="0"/>
                                  <w:marRight w:val="0"/>
                                  <w:marTop w:val="0"/>
                                  <w:marBottom w:val="0"/>
                                  <w:divBdr>
                                    <w:top w:val="none" w:sz="0" w:space="0" w:color="auto"/>
                                    <w:left w:val="none" w:sz="0" w:space="0" w:color="auto"/>
                                    <w:bottom w:val="none" w:sz="0" w:space="0" w:color="auto"/>
                                    <w:right w:val="none" w:sz="0" w:space="0" w:color="auto"/>
                                  </w:divBdr>
                                  <w:divsChild>
                                    <w:div w:id="153507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8512584">
      <w:bodyDiv w:val="1"/>
      <w:marLeft w:val="0"/>
      <w:marRight w:val="0"/>
      <w:marTop w:val="0"/>
      <w:marBottom w:val="0"/>
      <w:divBdr>
        <w:top w:val="none" w:sz="0" w:space="0" w:color="auto"/>
        <w:left w:val="none" w:sz="0" w:space="0" w:color="auto"/>
        <w:bottom w:val="none" w:sz="0" w:space="0" w:color="auto"/>
        <w:right w:val="none" w:sz="0" w:space="0" w:color="auto"/>
      </w:divBdr>
    </w:div>
    <w:div w:id="946738183">
      <w:bodyDiv w:val="1"/>
      <w:marLeft w:val="0"/>
      <w:marRight w:val="0"/>
      <w:marTop w:val="0"/>
      <w:marBottom w:val="0"/>
      <w:divBdr>
        <w:top w:val="none" w:sz="0" w:space="0" w:color="auto"/>
        <w:left w:val="none" w:sz="0" w:space="0" w:color="auto"/>
        <w:bottom w:val="none" w:sz="0" w:space="0" w:color="auto"/>
        <w:right w:val="none" w:sz="0" w:space="0" w:color="auto"/>
      </w:divBdr>
    </w:div>
    <w:div w:id="965308671">
      <w:bodyDiv w:val="1"/>
      <w:marLeft w:val="0"/>
      <w:marRight w:val="0"/>
      <w:marTop w:val="0"/>
      <w:marBottom w:val="0"/>
      <w:divBdr>
        <w:top w:val="none" w:sz="0" w:space="0" w:color="auto"/>
        <w:left w:val="none" w:sz="0" w:space="0" w:color="auto"/>
        <w:bottom w:val="none" w:sz="0" w:space="0" w:color="auto"/>
        <w:right w:val="none" w:sz="0" w:space="0" w:color="auto"/>
      </w:divBdr>
    </w:div>
    <w:div w:id="994798443">
      <w:bodyDiv w:val="1"/>
      <w:marLeft w:val="0"/>
      <w:marRight w:val="0"/>
      <w:marTop w:val="0"/>
      <w:marBottom w:val="0"/>
      <w:divBdr>
        <w:top w:val="none" w:sz="0" w:space="0" w:color="auto"/>
        <w:left w:val="none" w:sz="0" w:space="0" w:color="auto"/>
        <w:bottom w:val="none" w:sz="0" w:space="0" w:color="auto"/>
        <w:right w:val="none" w:sz="0" w:space="0" w:color="auto"/>
      </w:divBdr>
    </w:div>
    <w:div w:id="1057825916">
      <w:bodyDiv w:val="1"/>
      <w:marLeft w:val="0"/>
      <w:marRight w:val="0"/>
      <w:marTop w:val="0"/>
      <w:marBottom w:val="0"/>
      <w:divBdr>
        <w:top w:val="none" w:sz="0" w:space="0" w:color="auto"/>
        <w:left w:val="none" w:sz="0" w:space="0" w:color="auto"/>
        <w:bottom w:val="none" w:sz="0" w:space="0" w:color="auto"/>
        <w:right w:val="none" w:sz="0" w:space="0" w:color="auto"/>
      </w:divBdr>
    </w:div>
    <w:div w:id="1235510908">
      <w:bodyDiv w:val="1"/>
      <w:marLeft w:val="0"/>
      <w:marRight w:val="0"/>
      <w:marTop w:val="0"/>
      <w:marBottom w:val="0"/>
      <w:divBdr>
        <w:top w:val="none" w:sz="0" w:space="0" w:color="auto"/>
        <w:left w:val="none" w:sz="0" w:space="0" w:color="auto"/>
        <w:bottom w:val="none" w:sz="0" w:space="0" w:color="auto"/>
        <w:right w:val="none" w:sz="0" w:space="0" w:color="auto"/>
      </w:divBdr>
      <w:divsChild>
        <w:div w:id="556628539">
          <w:marLeft w:val="0"/>
          <w:marRight w:val="0"/>
          <w:marTop w:val="0"/>
          <w:marBottom w:val="0"/>
          <w:divBdr>
            <w:top w:val="none" w:sz="0" w:space="0" w:color="auto"/>
            <w:left w:val="none" w:sz="0" w:space="0" w:color="auto"/>
            <w:bottom w:val="none" w:sz="0" w:space="0" w:color="auto"/>
            <w:right w:val="none" w:sz="0" w:space="0" w:color="auto"/>
          </w:divBdr>
          <w:divsChild>
            <w:div w:id="606737914">
              <w:marLeft w:val="0"/>
              <w:marRight w:val="0"/>
              <w:marTop w:val="0"/>
              <w:marBottom w:val="0"/>
              <w:divBdr>
                <w:top w:val="none" w:sz="0" w:space="0" w:color="auto"/>
                <w:left w:val="none" w:sz="0" w:space="0" w:color="auto"/>
                <w:bottom w:val="none" w:sz="0" w:space="0" w:color="auto"/>
                <w:right w:val="none" w:sz="0" w:space="0" w:color="auto"/>
              </w:divBdr>
              <w:divsChild>
                <w:div w:id="742988045">
                  <w:marLeft w:val="0"/>
                  <w:marRight w:val="0"/>
                  <w:marTop w:val="0"/>
                  <w:marBottom w:val="0"/>
                  <w:divBdr>
                    <w:top w:val="none" w:sz="0" w:space="0" w:color="auto"/>
                    <w:left w:val="none" w:sz="0" w:space="0" w:color="auto"/>
                    <w:bottom w:val="none" w:sz="0" w:space="0" w:color="auto"/>
                    <w:right w:val="none" w:sz="0" w:space="0" w:color="auto"/>
                  </w:divBdr>
                  <w:divsChild>
                    <w:div w:id="994841806">
                      <w:marLeft w:val="0"/>
                      <w:marRight w:val="0"/>
                      <w:marTop w:val="0"/>
                      <w:marBottom w:val="0"/>
                      <w:divBdr>
                        <w:top w:val="none" w:sz="0" w:space="0" w:color="auto"/>
                        <w:left w:val="none" w:sz="0" w:space="0" w:color="auto"/>
                        <w:bottom w:val="none" w:sz="0" w:space="0" w:color="auto"/>
                        <w:right w:val="none" w:sz="0" w:space="0" w:color="auto"/>
                      </w:divBdr>
                      <w:divsChild>
                        <w:div w:id="1237855997">
                          <w:marLeft w:val="0"/>
                          <w:marRight w:val="0"/>
                          <w:marTop w:val="0"/>
                          <w:marBottom w:val="0"/>
                          <w:divBdr>
                            <w:top w:val="none" w:sz="0" w:space="0" w:color="auto"/>
                            <w:left w:val="none" w:sz="0" w:space="0" w:color="auto"/>
                            <w:bottom w:val="none" w:sz="0" w:space="0" w:color="auto"/>
                            <w:right w:val="none" w:sz="0" w:space="0" w:color="auto"/>
                          </w:divBdr>
                          <w:divsChild>
                            <w:div w:id="1011225697">
                              <w:marLeft w:val="0"/>
                              <w:marRight w:val="0"/>
                              <w:marTop w:val="0"/>
                              <w:marBottom w:val="0"/>
                              <w:divBdr>
                                <w:top w:val="none" w:sz="0" w:space="0" w:color="auto"/>
                                <w:left w:val="none" w:sz="0" w:space="0" w:color="auto"/>
                                <w:bottom w:val="none" w:sz="0" w:space="0" w:color="auto"/>
                                <w:right w:val="none" w:sz="0" w:space="0" w:color="auto"/>
                              </w:divBdr>
                              <w:divsChild>
                                <w:div w:id="1599604961">
                                  <w:marLeft w:val="0"/>
                                  <w:marRight w:val="0"/>
                                  <w:marTop w:val="0"/>
                                  <w:marBottom w:val="0"/>
                                  <w:divBdr>
                                    <w:top w:val="none" w:sz="0" w:space="0" w:color="auto"/>
                                    <w:left w:val="none" w:sz="0" w:space="0" w:color="auto"/>
                                    <w:bottom w:val="none" w:sz="0" w:space="0" w:color="auto"/>
                                    <w:right w:val="none" w:sz="0" w:space="0" w:color="auto"/>
                                  </w:divBdr>
                                  <w:divsChild>
                                    <w:div w:id="23366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4023326">
      <w:bodyDiv w:val="1"/>
      <w:marLeft w:val="0"/>
      <w:marRight w:val="0"/>
      <w:marTop w:val="0"/>
      <w:marBottom w:val="0"/>
      <w:divBdr>
        <w:top w:val="none" w:sz="0" w:space="0" w:color="auto"/>
        <w:left w:val="none" w:sz="0" w:space="0" w:color="auto"/>
        <w:bottom w:val="none" w:sz="0" w:space="0" w:color="auto"/>
        <w:right w:val="none" w:sz="0" w:space="0" w:color="auto"/>
      </w:divBdr>
    </w:div>
    <w:div w:id="1349984093">
      <w:bodyDiv w:val="1"/>
      <w:marLeft w:val="0"/>
      <w:marRight w:val="0"/>
      <w:marTop w:val="0"/>
      <w:marBottom w:val="0"/>
      <w:divBdr>
        <w:top w:val="none" w:sz="0" w:space="0" w:color="auto"/>
        <w:left w:val="none" w:sz="0" w:space="0" w:color="auto"/>
        <w:bottom w:val="none" w:sz="0" w:space="0" w:color="auto"/>
        <w:right w:val="none" w:sz="0" w:space="0" w:color="auto"/>
      </w:divBdr>
    </w:div>
    <w:div w:id="1414626454">
      <w:bodyDiv w:val="1"/>
      <w:marLeft w:val="0"/>
      <w:marRight w:val="0"/>
      <w:marTop w:val="0"/>
      <w:marBottom w:val="0"/>
      <w:divBdr>
        <w:top w:val="none" w:sz="0" w:space="0" w:color="auto"/>
        <w:left w:val="none" w:sz="0" w:space="0" w:color="auto"/>
        <w:bottom w:val="none" w:sz="0" w:space="0" w:color="auto"/>
        <w:right w:val="none" w:sz="0" w:space="0" w:color="auto"/>
      </w:divBdr>
    </w:div>
    <w:div w:id="1424498297">
      <w:bodyDiv w:val="1"/>
      <w:marLeft w:val="0"/>
      <w:marRight w:val="0"/>
      <w:marTop w:val="0"/>
      <w:marBottom w:val="0"/>
      <w:divBdr>
        <w:top w:val="none" w:sz="0" w:space="0" w:color="auto"/>
        <w:left w:val="none" w:sz="0" w:space="0" w:color="auto"/>
        <w:bottom w:val="none" w:sz="0" w:space="0" w:color="auto"/>
        <w:right w:val="none" w:sz="0" w:space="0" w:color="auto"/>
      </w:divBdr>
    </w:div>
    <w:div w:id="1504927657">
      <w:bodyDiv w:val="1"/>
      <w:marLeft w:val="0"/>
      <w:marRight w:val="0"/>
      <w:marTop w:val="0"/>
      <w:marBottom w:val="0"/>
      <w:divBdr>
        <w:top w:val="none" w:sz="0" w:space="0" w:color="auto"/>
        <w:left w:val="none" w:sz="0" w:space="0" w:color="auto"/>
        <w:bottom w:val="none" w:sz="0" w:space="0" w:color="auto"/>
        <w:right w:val="none" w:sz="0" w:space="0" w:color="auto"/>
      </w:divBdr>
    </w:div>
    <w:div w:id="1583568608">
      <w:bodyDiv w:val="1"/>
      <w:marLeft w:val="0"/>
      <w:marRight w:val="0"/>
      <w:marTop w:val="0"/>
      <w:marBottom w:val="0"/>
      <w:divBdr>
        <w:top w:val="none" w:sz="0" w:space="0" w:color="auto"/>
        <w:left w:val="none" w:sz="0" w:space="0" w:color="auto"/>
        <w:bottom w:val="none" w:sz="0" w:space="0" w:color="auto"/>
        <w:right w:val="none" w:sz="0" w:space="0" w:color="auto"/>
      </w:divBdr>
    </w:div>
    <w:div w:id="1655915854">
      <w:bodyDiv w:val="1"/>
      <w:marLeft w:val="0"/>
      <w:marRight w:val="0"/>
      <w:marTop w:val="0"/>
      <w:marBottom w:val="0"/>
      <w:divBdr>
        <w:top w:val="none" w:sz="0" w:space="0" w:color="auto"/>
        <w:left w:val="none" w:sz="0" w:space="0" w:color="auto"/>
        <w:bottom w:val="none" w:sz="0" w:space="0" w:color="auto"/>
        <w:right w:val="none" w:sz="0" w:space="0" w:color="auto"/>
      </w:divBdr>
    </w:div>
    <w:div w:id="1732457711">
      <w:bodyDiv w:val="1"/>
      <w:marLeft w:val="0"/>
      <w:marRight w:val="0"/>
      <w:marTop w:val="0"/>
      <w:marBottom w:val="0"/>
      <w:divBdr>
        <w:top w:val="none" w:sz="0" w:space="0" w:color="auto"/>
        <w:left w:val="none" w:sz="0" w:space="0" w:color="auto"/>
        <w:bottom w:val="none" w:sz="0" w:space="0" w:color="auto"/>
        <w:right w:val="none" w:sz="0" w:space="0" w:color="auto"/>
      </w:divBdr>
      <w:divsChild>
        <w:div w:id="1468430290">
          <w:marLeft w:val="0"/>
          <w:marRight w:val="0"/>
          <w:marTop w:val="0"/>
          <w:marBottom w:val="0"/>
          <w:divBdr>
            <w:top w:val="none" w:sz="0" w:space="0" w:color="auto"/>
            <w:left w:val="none" w:sz="0" w:space="0" w:color="auto"/>
            <w:bottom w:val="none" w:sz="0" w:space="0" w:color="auto"/>
            <w:right w:val="none" w:sz="0" w:space="0" w:color="auto"/>
          </w:divBdr>
          <w:divsChild>
            <w:div w:id="1998150728">
              <w:marLeft w:val="0"/>
              <w:marRight w:val="0"/>
              <w:marTop w:val="0"/>
              <w:marBottom w:val="0"/>
              <w:divBdr>
                <w:top w:val="none" w:sz="0" w:space="0" w:color="auto"/>
                <w:left w:val="none" w:sz="0" w:space="0" w:color="auto"/>
                <w:bottom w:val="none" w:sz="0" w:space="0" w:color="auto"/>
                <w:right w:val="none" w:sz="0" w:space="0" w:color="auto"/>
              </w:divBdr>
              <w:divsChild>
                <w:div w:id="207180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7022013">
      <w:bodyDiv w:val="1"/>
      <w:marLeft w:val="0"/>
      <w:marRight w:val="0"/>
      <w:marTop w:val="0"/>
      <w:marBottom w:val="0"/>
      <w:divBdr>
        <w:top w:val="none" w:sz="0" w:space="0" w:color="auto"/>
        <w:left w:val="none" w:sz="0" w:space="0" w:color="auto"/>
        <w:bottom w:val="none" w:sz="0" w:space="0" w:color="auto"/>
        <w:right w:val="none" w:sz="0" w:space="0" w:color="auto"/>
      </w:divBdr>
    </w:div>
    <w:div w:id="1768311798">
      <w:bodyDiv w:val="1"/>
      <w:marLeft w:val="0"/>
      <w:marRight w:val="0"/>
      <w:marTop w:val="0"/>
      <w:marBottom w:val="0"/>
      <w:divBdr>
        <w:top w:val="none" w:sz="0" w:space="0" w:color="auto"/>
        <w:left w:val="none" w:sz="0" w:space="0" w:color="auto"/>
        <w:bottom w:val="none" w:sz="0" w:space="0" w:color="auto"/>
        <w:right w:val="none" w:sz="0" w:space="0" w:color="auto"/>
      </w:divBdr>
    </w:div>
    <w:div w:id="1844395801">
      <w:bodyDiv w:val="1"/>
      <w:marLeft w:val="0"/>
      <w:marRight w:val="0"/>
      <w:marTop w:val="0"/>
      <w:marBottom w:val="0"/>
      <w:divBdr>
        <w:top w:val="none" w:sz="0" w:space="0" w:color="auto"/>
        <w:left w:val="none" w:sz="0" w:space="0" w:color="auto"/>
        <w:bottom w:val="none" w:sz="0" w:space="0" w:color="auto"/>
        <w:right w:val="none" w:sz="0" w:space="0" w:color="auto"/>
      </w:divBdr>
    </w:div>
    <w:div w:id="1885869943">
      <w:bodyDiv w:val="1"/>
      <w:marLeft w:val="0"/>
      <w:marRight w:val="0"/>
      <w:marTop w:val="0"/>
      <w:marBottom w:val="0"/>
      <w:divBdr>
        <w:top w:val="none" w:sz="0" w:space="0" w:color="auto"/>
        <w:left w:val="none" w:sz="0" w:space="0" w:color="auto"/>
        <w:bottom w:val="none" w:sz="0" w:space="0" w:color="auto"/>
        <w:right w:val="none" w:sz="0" w:space="0" w:color="auto"/>
      </w:divBdr>
    </w:div>
    <w:div w:id="1940673300">
      <w:bodyDiv w:val="1"/>
      <w:marLeft w:val="0"/>
      <w:marRight w:val="0"/>
      <w:marTop w:val="0"/>
      <w:marBottom w:val="0"/>
      <w:divBdr>
        <w:top w:val="none" w:sz="0" w:space="0" w:color="auto"/>
        <w:left w:val="none" w:sz="0" w:space="0" w:color="auto"/>
        <w:bottom w:val="none" w:sz="0" w:space="0" w:color="auto"/>
        <w:right w:val="none" w:sz="0" w:space="0" w:color="auto"/>
      </w:divBdr>
      <w:divsChild>
        <w:div w:id="1353801147">
          <w:marLeft w:val="0"/>
          <w:marRight w:val="0"/>
          <w:marTop w:val="0"/>
          <w:marBottom w:val="0"/>
          <w:divBdr>
            <w:top w:val="none" w:sz="0" w:space="0" w:color="auto"/>
            <w:left w:val="none" w:sz="0" w:space="0" w:color="auto"/>
            <w:bottom w:val="none" w:sz="0" w:space="0" w:color="auto"/>
            <w:right w:val="none" w:sz="0" w:space="0" w:color="auto"/>
          </w:divBdr>
          <w:divsChild>
            <w:div w:id="1875968656">
              <w:marLeft w:val="0"/>
              <w:marRight w:val="0"/>
              <w:marTop w:val="0"/>
              <w:marBottom w:val="0"/>
              <w:divBdr>
                <w:top w:val="none" w:sz="0" w:space="0" w:color="auto"/>
                <w:left w:val="none" w:sz="0" w:space="0" w:color="auto"/>
                <w:bottom w:val="none" w:sz="0" w:space="0" w:color="auto"/>
                <w:right w:val="none" w:sz="0" w:space="0" w:color="auto"/>
              </w:divBdr>
              <w:divsChild>
                <w:div w:id="398215072">
                  <w:marLeft w:val="0"/>
                  <w:marRight w:val="0"/>
                  <w:marTop w:val="0"/>
                  <w:marBottom w:val="0"/>
                  <w:divBdr>
                    <w:top w:val="none" w:sz="0" w:space="0" w:color="auto"/>
                    <w:left w:val="none" w:sz="0" w:space="0" w:color="auto"/>
                    <w:bottom w:val="none" w:sz="0" w:space="0" w:color="auto"/>
                    <w:right w:val="none" w:sz="0" w:space="0" w:color="auto"/>
                  </w:divBdr>
                  <w:divsChild>
                    <w:div w:id="1749840434">
                      <w:marLeft w:val="0"/>
                      <w:marRight w:val="0"/>
                      <w:marTop w:val="0"/>
                      <w:marBottom w:val="0"/>
                      <w:divBdr>
                        <w:top w:val="none" w:sz="0" w:space="0" w:color="auto"/>
                        <w:left w:val="none" w:sz="0" w:space="0" w:color="auto"/>
                        <w:bottom w:val="none" w:sz="0" w:space="0" w:color="auto"/>
                        <w:right w:val="none" w:sz="0" w:space="0" w:color="auto"/>
                      </w:divBdr>
                      <w:divsChild>
                        <w:div w:id="1417946581">
                          <w:marLeft w:val="0"/>
                          <w:marRight w:val="0"/>
                          <w:marTop w:val="0"/>
                          <w:marBottom w:val="0"/>
                          <w:divBdr>
                            <w:top w:val="none" w:sz="0" w:space="0" w:color="auto"/>
                            <w:left w:val="none" w:sz="0" w:space="0" w:color="auto"/>
                            <w:bottom w:val="none" w:sz="0" w:space="0" w:color="auto"/>
                            <w:right w:val="none" w:sz="0" w:space="0" w:color="auto"/>
                          </w:divBdr>
                          <w:divsChild>
                            <w:div w:id="951085339">
                              <w:marLeft w:val="0"/>
                              <w:marRight w:val="0"/>
                              <w:marTop w:val="0"/>
                              <w:marBottom w:val="0"/>
                              <w:divBdr>
                                <w:top w:val="none" w:sz="0" w:space="0" w:color="auto"/>
                                <w:left w:val="none" w:sz="0" w:space="0" w:color="auto"/>
                                <w:bottom w:val="none" w:sz="0" w:space="0" w:color="auto"/>
                                <w:right w:val="none" w:sz="0" w:space="0" w:color="auto"/>
                              </w:divBdr>
                              <w:divsChild>
                                <w:div w:id="479687166">
                                  <w:marLeft w:val="0"/>
                                  <w:marRight w:val="0"/>
                                  <w:marTop w:val="0"/>
                                  <w:marBottom w:val="0"/>
                                  <w:divBdr>
                                    <w:top w:val="none" w:sz="0" w:space="0" w:color="auto"/>
                                    <w:left w:val="none" w:sz="0" w:space="0" w:color="auto"/>
                                    <w:bottom w:val="none" w:sz="0" w:space="0" w:color="auto"/>
                                    <w:right w:val="none" w:sz="0" w:space="0" w:color="auto"/>
                                  </w:divBdr>
                                  <w:divsChild>
                                    <w:div w:id="20664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9013530">
      <w:bodyDiv w:val="1"/>
      <w:marLeft w:val="0"/>
      <w:marRight w:val="0"/>
      <w:marTop w:val="0"/>
      <w:marBottom w:val="0"/>
      <w:divBdr>
        <w:top w:val="none" w:sz="0" w:space="0" w:color="auto"/>
        <w:left w:val="none" w:sz="0" w:space="0" w:color="auto"/>
        <w:bottom w:val="none" w:sz="0" w:space="0" w:color="auto"/>
        <w:right w:val="none" w:sz="0" w:space="0" w:color="auto"/>
      </w:divBdr>
    </w:div>
    <w:div w:id="2024355981">
      <w:bodyDiv w:val="1"/>
      <w:marLeft w:val="0"/>
      <w:marRight w:val="0"/>
      <w:marTop w:val="0"/>
      <w:marBottom w:val="0"/>
      <w:divBdr>
        <w:top w:val="none" w:sz="0" w:space="0" w:color="auto"/>
        <w:left w:val="none" w:sz="0" w:space="0" w:color="auto"/>
        <w:bottom w:val="none" w:sz="0" w:space="0" w:color="auto"/>
        <w:right w:val="none" w:sz="0" w:space="0" w:color="auto"/>
      </w:divBdr>
    </w:div>
    <w:div w:id="2067561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javascript:void(0);" TargetMode="External"/><Relationship Id="rId18" Type="http://schemas.openxmlformats.org/officeDocument/2006/relationships/hyperlink" Target="javascript:void(0);" TargetMode="External"/><Relationship Id="rId26" Type="http://schemas.openxmlformats.org/officeDocument/2006/relationships/hyperlink" Target="javascript:void(0);" TargetMode="External"/><Relationship Id="rId3" Type="http://schemas.openxmlformats.org/officeDocument/2006/relationships/customXml" Target="../customXml/item3.xml"/><Relationship Id="rId21" Type="http://schemas.openxmlformats.org/officeDocument/2006/relationships/hyperlink" Target="javascript:void(0);"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javascript:void(0);" TargetMode="External"/><Relationship Id="rId17" Type="http://schemas.openxmlformats.org/officeDocument/2006/relationships/hyperlink" Target="javascript:void(0);" TargetMode="External"/><Relationship Id="rId25" Type="http://schemas.openxmlformats.org/officeDocument/2006/relationships/hyperlink" Target="javascript:void(0);"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javascript:void(0);" TargetMode="External"/><Relationship Id="rId20" Type="http://schemas.openxmlformats.org/officeDocument/2006/relationships/hyperlink" Target="javascript:void(0);" TargetMode="External"/><Relationship Id="rId29" Type="http://schemas.openxmlformats.org/officeDocument/2006/relationships/hyperlink" Target="javascript:void(0);"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javascript:void(0);" TargetMode="External"/><Relationship Id="rId24" Type="http://schemas.openxmlformats.org/officeDocument/2006/relationships/hyperlink" Target="javascript:void(0);" TargetMode="External"/><Relationship Id="rId32" Type="http://schemas.openxmlformats.org/officeDocument/2006/relationships/header" Target="header1.xml"/><Relationship Id="rId5" Type="http://schemas.openxmlformats.org/officeDocument/2006/relationships/styles" Target="styles.xml"/><Relationship Id="rId15" Type="http://schemas.openxmlformats.org/officeDocument/2006/relationships/hyperlink" Target="javascript:void(0);" TargetMode="External"/><Relationship Id="rId23" Type="http://schemas.openxmlformats.org/officeDocument/2006/relationships/hyperlink" Target="javascript:void(0);" TargetMode="External"/><Relationship Id="rId28" Type="http://schemas.openxmlformats.org/officeDocument/2006/relationships/hyperlink" Target="javascript:void(0);" TargetMode="External"/><Relationship Id="rId10" Type="http://schemas.openxmlformats.org/officeDocument/2006/relationships/hyperlink" Target="javascript:void(0);" TargetMode="External"/><Relationship Id="rId19" Type="http://schemas.openxmlformats.org/officeDocument/2006/relationships/hyperlink" Target="javascript:void(0);" TargetMode="External"/><Relationship Id="rId31" Type="http://schemas.openxmlformats.org/officeDocument/2006/relationships/hyperlink" Target="javascript:void(0);"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javascript:void(0);" TargetMode="External"/><Relationship Id="rId22" Type="http://schemas.openxmlformats.org/officeDocument/2006/relationships/hyperlink" Target="javascript:void(0);" TargetMode="External"/><Relationship Id="rId27" Type="http://schemas.openxmlformats.org/officeDocument/2006/relationships/hyperlink" Target="javascript:void(0);" TargetMode="External"/><Relationship Id="rId30" Type="http://schemas.openxmlformats.org/officeDocument/2006/relationships/hyperlink" Target="javascript:void(0);" TargetMode="External"/><Relationship Id="rId8"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DCFDCA14B59841AFB91297F53F2C7B" ma:contentTypeVersion="14" ma:contentTypeDescription="Create a new document." ma:contentTypeScope="" ma:versionID="84fe443bcc351d16cc362f82adc458cb">
  <xsd:schema xmlns:xsd="http://www.w3.org/2001/XMLSchema" xmlns:xs="http://www.w3.org/2001/XMLSchema" xmlns:p="http://schemas.microsoft.com/office/2006/metadata/properties" xmlns:ns2="edcdb15f-a0b7-4b49-9c5d-f857c0d13822" xmlns:ns3="d37676c7-51c9-4d12-93bf-f6a368207fc2" targetNamespace="http://schemas.microsoft.com/office/2006/metadata/properties" ma:root="true" ma:fieldsID="8a4c8c7f36a237a7d1d908f9663c2677" ns2:_="" ns3:_="">
    <xsd:import namespace="edcdb15f-a0b7-4b49-9c5d-f857c0d13822"/>
    <xsd:import namespace="d37676c7-51c9-4d12-93bf-f6a368207f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cdb15f-a0b7-4b49-9c5d-f857c0d138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37676c7-51c9-4d12-93bf-f6a368207fc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d46168-850f-4295-a0e7-a6a6b7ce9148}" ma:internalName="TaxCatchAll" ma:showField="CatchAllData" ma:web="d37676c7-51c9-4d12-93bf-f6a368207f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cdb15f-a0b7-4b49-9c5d-f857c0d13822">
      <Terms xmlns="http://schemas.microsoft.com/office/infopath/2007/PartnerControls"/>
    </lcf76f155ced4ddcb4097134ff3c332f>
    <TaxCatchAll xmlns="d37676c7-51c9-4d12-93bf-f6a368207fc2" xsi:nil="true"/>
  </documentManagement>
</p:properties>
</file>

<file path=customXml/itemProps1.xml><?xml version="1.0" encoding="utf-8"?>
<ds:datastoreItem xmlns:ds="http://schemas.openxmlformats.org/officeDocument/2006/customXml" ds:itemID="{5FCB5937-4BBB-45A9-8B37-4F59A4C4DDE2}">
  <ds:schemaRefs>
    <ds:schemaRef ds:uri="http://schemas.microsoft.com/sharepoint/v3/contenttype/forms"/>
  </ds:schemaRefs>
</ds:datastoreItem>
</file>

<file path=customXml/itemProps2.xml><?xml version="1.0" encoding="utf-8"?>
<ds:datastoreItem xmlns:ds="http://schemas.openxmlformats.org/officeDocument/2006/customXml" ds:itemID="{FEA0833D-EFA7-4C0F-9BB6-C2A1715379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cdb15f-a0b7-4b49-9c5d-f857c0d13822"/>
    <ds:schemaRef ds:uri="d37676c7-51c9-4d12-93bf-f6a368207f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BC38210-385F-466A-8175-AC777482950C}">
  <ds:schemaRefs>
    <ds:schemaRef ds:uri="http://schemas.microsoft.com/office/2006/metadata/properties"/>
    <ds:schemaRef ds:uri="http://schemas.microsoft.com/office/infopath/2007/PartnerControls"/>
    <ds:schemaRef ds:uri="edcdb15f-a0b7-4b49-9c5d-f857c0d13822"/>
    <ds:schemaRef ds:uri="d37676c7-51c9-4d12-93bf-f6a368207fc2"/>
  </ds:schemaRefs>
</ds:datastoreItem>
</file>

<file path=docProps/app.xml><?xml version="1.0" encoding="utf-8"?>
<Properties xmlns="http://schemas.openxmlformats.org/officeDocument/2006/extended-properties" xmlns:vt="http://schemas.openxmlformats.org/officeDocument/2006/docPropsVTypes">
  <Template>Normal</Template>
  <TotalTime>1018</TotalTime>
  <Pages>9</Pages>
  <Words>3610</Words>
  <Characters>20580</Characters>
  <Application>Microsoft Office Word</Application>
  <DocSecurity>0</DocSecurity>
  <Lines>171</Lines>
  <Paragraphs>48</Paragraphs>
  <ScaleCrop>false</ScaleCrop>
  <Company/>
  <LinksUpToDate>false</LinksUpToDate>
  <CharactersWithSpaces>24142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Himanshu Goyal</dc:creator>
  <cp:keywords/>
  <dc:description/>
  <cp:lastModifiedBy>Siddharth L Vora</cp:lastModifiedBy>
  <cp:revision>273</cp:revision>
  <dcterms:created xsi:type="dcterms:W3CDTF">2024-04-02T04:58:00Z</dcterms:created>
  <dcterms:modified xsi:type="dcterms:W3CDTF">2025-03-27T11:07:00Z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0x01010090DCFDCA14B59841AFB91297F53F2C7B</vt:lpwstr>
  </property>
  <property fmtid="{D5CDD505-2E9C-101B-9397-08002B2CF9AE}" pid="3" name="MediaServiceImageTags">
    <vt:lpwstr/>
  </property>
</Properties>
</file>