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4D10"/>
          <w:sz w:val="56"/>
        </w:rPr>
        <w:t>🌾 PIXEL-GRAIN</w:t>
      </w:r>
    </w:p>
    <w:p>
      <w:pPr>
        <w:jc w:val="center"/>
      </w:pPr>
      <w:r>
        <w:rPr>
          <w:b/>
          <w:color w:val="2E7423"/>
          <w:sz w:val="40"/>
        </w:rPr>
        <w:t>Project Proposal &amp; Pitch Deck Outline</w:t>
      </w:r>
    </w:p>
    <w:p>
      <w:pPr>
        <w:jc w:val="center"/>
      </w:pPr>
      <w:r>
        <w:rPr>
          <w:i/>
          <w:color w:val="556550"/>
          <w:sz w:val="26"/>
        </w:rPr>
        <w:t>Investor &amp; Jury Presentation Guide</w:t>
      </w:r>
    </w:p>
    <w:p/>
    <w:p>
      <w:pPr>
        <w:jc w:val="center"/>
      </w:pPr>
      <w:r>
        <w:rPr>
          <w:color w:val="556550"/>
          <w:sz w:val="20"/>
        </w:rPr>
        <w:t>Version: v1.0  |  Date: June 2025  |  Author: Divyansh (Krrish)</w:t>
      </w:r>
    </w:p>
    <w:p>
      <w:r>
        <w:br w:type="page"/>
      </w:r>
    </w:p>
    <w:p>
      <w:pPr>
        <w:pStyle w:val="Heading1"/>
        <w:jc w:val="left"/>
      </w:pPr>
      <w:r>
        <w:rPr>
          <w:color w:val="1A4D10"/>
        </w:rPr>
        <w:t>1. The Problem — India's Agricultural Supply Chain Crisis</w:t>
      </w:r>
    </w:p>
    <w:p>
      <w:pPr>
        <w:spacing w:before="0" w:after="80"/>
      </w:pPr>
      <w:r>
        <w:rPr>
          <w:b w:val="0"/>
          <w:i w:val="0"/>
          <w:sz w:val="22"/>
        </w:rPr>
        <w:t>India is the world's second-largest agricultural producer, yet 140 million farming families receive only 15–20% of the final consumer price. The remaining 80% is absorbed by a chain of middlemen, commission agents (arhatiyas), and wholesalers — a system largely unchanged since pre-independence India.</w:t>
      </w:r>
    </w:p>
    <w:p>
      <w:pPr>
        <w:spacing w:before="0" w:after="80"/>
      </w:pPr>
      <w:r>
        <w:rPr>
          <w:b/>
          <w:i w:val="0"/>
          <w:sz w:val="22"/>
        </w:rPr>
        <w:t>Key pain points:</w:t>
      </w:r>
    </w:p>
    <w:p>
      <w:pPr>
        <w:pStyle w:val="ListBullet"/>
        <w:spacing w:after="40"/>
      </w:pPr>
      <w:r>
        <w:rPr>
          <w:sz w:val="21"/>
        </w:rPr>
        <w:t>Subjective, biased quality grading by mandi agents — no standard, no proof.</w:t>
      </w:r>
    </w:p>
    <w:p>
      <w:pPr>
        <w:pStyle w:val="ListBullet"/>
        <w:spacing w:after="40"/>
      </w:pPr>
      <w:r>
        <w:rPr>
          <w:sz w:val="21"/>
        </w:rPr>
        <w:t>Information asymmetry: farmers don't know buyer prices or demand.</w:t>
      </w:r>
    </w:p>
    <w:p>
      <w:pPr>
        <w:pStyle w:val="ListBullet"/>
        <w:spacing w:after="40"/>
      </w:pPr>
      <w:r>
        <w:rPr>
          <w:sz w:val="21"/>
        </w:rPr>
        <w:t>No direct farmer-buyer channel; every trade passes through 3–5 intermediaries.</w:t>
      </w:r>
    </w:p>
    <w:p>
      <w:pPr>
        <w:pStyle w:val="ListBullet"/>
        <w:spacing w:after="40"/>
      </w:pPr>
      <w:r>
        <w:rPr>
          <w:sz w:val="21"/>
        </w:rPr>
        <w:t>Post-harvest losses of 10–25% due to delayed trade from slow manual processes.</w:t>
      </w:r>
    </w:p>
    <w:p>
      <w:pPr>
        <w:pStyle w:val="ListBullet"/>
        <w:spacing w:after="40"/>
      </w:pPr>
      <w:r>
        <w:rPr>
          <w:sz w:val="21"/>
        </w:rPr>
        <w:t>Language and digital literacy barriers keep farmers out of eNAM and online markets.</w:t>
      </w:r>
    </w:p>
    <w:p>
      <w:pPr>
        <w:pStyle w:val="Heading1"/>
        <w:jc w:val="left"/>
      </w:pPr>
      <w:r>
        <w:rPr>
          <w:color w:val="1A4D10"/>
        </w:rPr>
        <w:t>2. The Solution — Pixel-Grain</w:t>
      </w:r>
    </w:p>
    <w:p>
      <w:pPr>
        <w:spacing w:before="0" w:after="80"/>
      </w:pPr>
      <w:r>
        <w:rPr>
          <w:b w:val="0"/>
          <w:i w:val="0"/>
          <w:sz w:val="22"/>
        </w:rPr>
        <w:t>Pixel-Grain is an ML-powered agricultural commerce platform that converts a single grain photograph into a tamper-proof quality certificate and connects the farmer directly with verified buyers — in seconds, not days.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504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Old Way</w:t>
            </w:r>
          </w:p>
        </w:tc>
        <w:tc>
          <w:tcPr>
            <w:tcW w:type="dxa" w:w="576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Pixel-Grain Way</w:t>
            </w:r>
          </w:p>
        </w:tc>
      </w:tr>
      <w:tr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Manual grading by mandi agent — subjective, bribable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PyTorch CV model — objective, consistent, documented</w:t>
            </w:r>
          </w:p>
        </w:tc>
      </w:tr>
      <w:tr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 accepts agent's price — no benchmark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Fair Price Engine — APMC mandi data + ML grade</w:t>
            </w:r>
          </w:p>
        </w:tc>
      </w:tr>
      <w:tr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3–5 middlemen take 80% margin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Direct farmer-buyer marketplace — zero intermediary cut</w:t>
            </w:r>
          </w:p>
        </w:tc>
      </w:tr>
      <w:tr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Paper receipts — no audit trail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Immutable grade records — blockchain-style integrity</w:t>
            </w:r>
          </w:p>
        </w:tc>
      </w:tr>
      <w:tr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Hindi/regional literacy barrier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LLM chatbot in Hindi and 8 regional languages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3. How It Works — Demo Flow</w:t>
      </w:r>
    </w:p>
    <w:p>
      <w:pPr>
        <w:spacing w:after="80"/>
      </w:pPr>
      <w:r>
        <w:rPr>
          <w:b/>
          <w:color w:val="1A4D10"/>
          <w:sz w:val="22"/>
        </w:rPr>
        <w:t xml:space="preserve">  Step 1 — Snap: </w:t>
      </w:r>
      <w:r>
        <w:rPr>
          <w:sz w:val="22"/>
        </w:rPr>
        <w:t>Farmer photographs grain on mobile-friendly web app.</w:t>
      </w:r>
    </w:p>
    <w:p>
      <w:pPr>
        <w:spacing w:after="80"/>
      </w:pPr>
      <w:r>
        <w:rPr>
          <w:b/>
          <w:color w:val="1A4D10"/>
          <w:sz w:val="22"/>
        </w:rPr>
        <w:t xml:space="preserve">  Step 2 — Grade: </w:t>
      </w:r>
      <w:r>
        <w:rPr>
          <w:sz w:val="22"/>
        </w:rPr>
        <w:t>PyTorch CV model returns A+/A/B/C grade + PDF certificate in &lt; 60 seconds.</w:t>
      </w:r>
    </w:p>
    <w:p>
      <w:pPr>
        <w:spacing w:after="80"/>
      </w:pPr>
      <w:r>
        <w:rPr>
          <w:b/>
          <w:color w:val="1A4D10"/>
          <w:sz w:val="22"/>
        </w:rPr>
        <w:t xml:space="preserve">  Step 3 — List: </w:t>
      </w:r>
      <w:r>
        <w:rPr>
          <w:sz w:val="22"/>
        </w:rPr>
        <w:t>Farmer posts certified listing with AI-suggested fair price.</w:t>
      </w:r>
    </w:p>
    <w:p>
      <w:pPr>
        <w:spacing w:after="80"/>
      </w:pPr>
      <w:r>
        <w:rPr>
          <w:b/>
          <w:color w:val="1A4D10"/>
          <w:sz w:val="22"/>
        </w:rPr>
        <w:t xml:space="preserve">  Step 4 — Match: </w:t>
      </w:r>
      <w:r>
        <w:rPr>
          <w:sz w:val="22"/>
        </w:rPr>
        <w:t>Buyer Match Agent instantly notifies matched buyers via SMS.</w:t>
      </w:r>
    </w:p>
    <w:p>
      <w:pPr>
        <w:spacing w:after="80"/>
      </w:pPr>
      <w:r>
        <w:rPr>
          <w:b/>
          <w:color w:val="1A4D10"/>
          <w:sz w:val="22"/>
        </w:rPr>
        <w:t xml:space="preserve">  Step 5 — Bid: </w:t>
      </w:r>
      <w:r>
        <w:rPr>
          <w:sz w:val="22"/>
        </w:rPr>
        <w:t>Buyers place real-time bids via WebSocket auction.</w:t>
      </w:r>
    </w:p>
    <w:p>
      <w:pPr>
        <w:spacing w:after="80"/>
      </w:pPr>
      <w:r>
        <w:rPr>
          <w:b/>
          <w:color w:val="1A4D10"/>
          <w:sz w:val="22"/>
        </w:rPr>
        <w:t xml:space="preserve">  Step 6 — Trade: </w:t>
      </w:r>
      <w:r>
        <w:rPr>
          <w:sz w:val="22"/>
        </w:rPr>
        <w:t>Farmer accepts bid; digital contract auto-generated; Razorpay payment released.</w:t>
      </w:r>
    </w:p>
    <w:p>
      <w:pPr>
        <w:pStyle w:val="Heading1"/>
        <w:jc w:val="left"/>
      </w:pPr>
      <w:r>
        <w:rPr>
          <w:color w:val="1A4D10"/>
        </w:rPr>
        <w:t>4. Market Opportunity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03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03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Indian agri-output value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₹20 lakh crore (~$240B) annually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MOSPI 2024</w:t>
            </w:r>
          </w:p>
        </w:tc>
      </w:tr>
      <w:tr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Addressable farmer base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140 million farming families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Census 2011</w:t>
            </w:r>
          </w:p>
        </w:tc>
      </w:tr>
      <w:tr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Smartphone penetration (rural India)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~50% and growing at 12% YoY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 2024</w:t>
            </w:r>
          </w:p>
        </w:tc>
      </w:tr>
      <w:tr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eNAM registered mandis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1,361 mandis across 23 states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GoI 2024</w:t>
            </w:r>
          </w:p>
        </w:tc>
      </w:tr>
      <w:tr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Post-harvest losses (grain)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₹92,000 crore annually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ICAR estimates</w:t>
            </w:r>
          </w:p>
        </w:tc>
      </w:tr>
      <w:tr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Agri-tech market size (India)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$24B by 2025, CAGR 25%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NASSCOM Report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5. Technology Highlights</w:t>
      </w:r>
    </w:p>
    <w:p>
      <w:pPr>
        <w:pStyle w:val="ListBullet"/>
        <w:spacing w:after="40"/>
      </w:pPr>
      <w:r>
        <w:rPr>
          <w:sz w:val="21"/>
        </w:rPr>
        <w:t>Custom PyTorch CNN trained on Indian grain varieties (wheat, rice, moong dal, chana) — expanding to 50+ commodities.</w:t>
      </w:r>
    </w:p>
    <w:p>
      <w:pPr>
        <w:pStyle w:val="ListBullet"/>
        <w:spacing w:after="40"/>
      </w:pPr>
      <w:r>
        <w:rPr>
          <w:sz w:val="21"/>
        </w:rPr>
        <w:t>Real-time bidding via Django Channels WebSockets — no page refresh, no delay.</w:t>
      </w:r>
    </w:p>
    <w:p>
      <w:pPr>
        <w:pStyle w:val="ListBullet"/>
        <w:spacing w:after="40"/>
      </w:pPr>
      <w:r>
        <w:rPr>
          <w:sz w:val="21"/>
        </w:rPr>
        <w:t>4 autonomous AI agents powered by Google AI + Anthropic Claude APIs — matching, pricing, onboarding, auditing.</w:t>
      </w:r>
    </w:p>
    <w:p>
      <w:pPr>
        <w:pStyle w:val="ListBullet"/>
        <w:spacing w:after="40"/>
      </w:pPr>
      <w:r>
        <w:rPr>
          <w:sz w:val="21"/>
        </w:rPr>
        <w:t>Mobile PWA with offline mode — works on 2G/3G in rural areas.</w:t>
      </w:r>
    </w:p>
    <w:p>
      <w:pPr>
        <w:pStyle w:val="ListBullet"/>
        <w:spacing w:after="40"/>
      </w:pPr>
      <w:r>
        <w:rPr>
          <w:sz w:val="21"/>
        </w:rPr>
        <w:t>Full Docker Compose deployment — reproducible, scalable infrastructure.</w:t>
      </w:r>
    </w:p>
    <w:p>
      <w:pPr>
        <w:pStyle w:val="Heading1"/>
        <w:jc w:val="left"/>
      </w:pPr>
      <w:r>
        <w:rPr>
          <w:color w:val="1A4D10"/>
        </w:rPr>
        <w:t>6. Business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Revenue Stream</w:t>
            </w:r>
          </w:p>
        </w:tc>
        <w:tc>
          <w:tcPr>
            <w:tcW w:type="dxa" w:w="475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Target Rate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Transaction Fee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% of trade value on each completed deal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1.5% of trade total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Buyer Subscription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Monthly SaaS for premium buyers (analytics, priority alerts)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₹2,999/month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Certificate API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Third-party API access to ML grading model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₹5 per certificate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FPO/Cooperative Plans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Bulk enterprise licensing for farmer organizations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₹50,000/year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Ed-Tech Module</w:t>
            </w:r>
          </w:p>
        </w:tc>
        <w:tc>
          <w:tcPr>
            <w:tcW w:type="dxa" w:w="475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Gamified crop quality courses (Phase 3)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₹199/course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7. Competitive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Competitor</w:t>
            </w:r>
          </w:p>
        </w:tc>
        <w:tc>
          <w:tcPr>
            <w:tcW w:type="dxa" w:w="360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576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Pixel-Grain Edge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eNAM (Govt)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Digital mandi — price discovery only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ML grading + direct trade + AI agents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AgroStar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 inputs e-commerce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Different space — no grading or marketplace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DeHaat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Advisory + inputs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 ML quality cert; no real-time bidding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WayCool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Supply chain (B2B)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Aggregator model — we're disintermediating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Pixel-Grain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Cert + Marketplace + AI</w:t>
            </w:r>
          </w:p>
        </w:tc>
        <w:tc>
          <w:tcPr>
            <w:tcW w:type="dxa" w:w="57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mover on ML quality certification for mandis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8. Roadmap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59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6768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Key Milestones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Phase 1 — MVP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Month 1–3</w:t>
            </w:r>
          </w:p>
        </w:tc>
        <w:tc>
          <w:tcPr>
            <w:tcW w:type="dxa" w:w="67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Auth, ML grading, listing API, Docker deploy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Phase 2 — Marketplace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Month 4–6</w:t>
            </w:r>
          </w:p>
        </w:tc>
        <w:tc>
          <w:tcPr>
            <w:tcW w:type="dxa" w:w="67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Live bidding, fair price engine, Razorpay, match agent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Phase 3 — Intelligence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Month 7–10</w:t>
            </w:r>
          </w:p>
        </w:tc>
        <w:tc>
          <w:tcPr>
            <w:tcW w:type="dxa" w:w="67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LSTM price forecasts, multilingual chatbot, mobile app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Phase 4 — Scale</w:t>
            </w:r>
          </w:p>
        </w:tc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Month 11–18</w:t>
            </w:r>
          </w:p>
        </w:tc>
        <w:tc>
          <w:tcPr>
            <w:tcW w:type="dxa" w:w="67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FPO support, eNAM integration, multi-state DB clusters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9. Team</w:t>
      </w:r>
    </w:p>
    <w:p>
      <w:pPr>
        <w:spacing w:before="0" w:after="80"/>
      </w:pPr>
      <w:r>
        <w:rPr>
          <w:b/>
          <w:i w:val="0"/>
          <w:sz w:val="24"/>
        </w:rPr>
        <w:t>Divyansh (Krrish) — Founder &amp; Lead Engineer</w:t>
      </w:r>
    </w:p>
    <w:p>
      <w:pPr>
        <w:spacing w:before="0" w:after="80"/>
      </w:pPr>
      <w:r>
        <w:rPr>
          <w:b w:val="0"/>
          <w:i w:val="0"/>
          <w:sz w:val="22"/>
        </w:rPr>
        <w:t>Computer Science student with deep expertise in Django, PyTorch, and autonomous AI systems. Designed and built the full Pixel-Grain architecture from ground up, with a personal mission to solve India's agricultural supply chain inequality.</w:t>
      </w:r>
    </w:p>
    <w:p>
      <w:pPr>
        <w:pStyle w:val="Heading1"/>
        <w:jc w:val="left"/>
      </w:pPr>
      <w:r>
        <w:rPr>
          <w:color w:val="1A4D10"/>
        </w:rPr>
        <w:t>10. The Ask</w:t>
      </w:r>
    </w:p>
    <w:p>
      <w:pPr>
        <w:spacing w:before="0" w:after="80"/>
      </w:pPr>
      <w:r>
        <w:rPr>
          <w:b/>
          <w:i w:val="0"/>
          <w:color w:val="1A4D10"/>
          <w:sz w:val="26"/>
        </w:rPr>
        <w:t>Seed Funding: ₹75 Lakhs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60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Allocation</w:t>
            </w:r>
          </w:p>
        </w:tc>
        <w:tc>
          <w:tcPr>
            <w:tcW w:type="dxa" w:w="216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64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ML Model R&amp;D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₹20L</w:t>
            </w:r>
          </w:p>
        </w:tc>
        <w:tc>
          <w:tcPr>
            <w:tcW w:type="dxa" w:w="64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Data collection, labeling, model training pipeline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Engineering (Hire)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₹25L</w:t>
            </w:r>
          </w:p>
        </w:tc>
        <w:tc>
          <w:tcPr>
            <w:tcW w:type="dxa" w:w="64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 backend engineers for 6 months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Infrastructure (Cloud)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₹10L</w:t>
            </w:r>
          </w:p>
        </w:tc>
        <w:tc>
          <w:tcPr>
            <w:tcW w:type="dxa" w:w="64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AWS S3, EC2, Redis Cloud for 18 months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 Onboarding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₹12L</w:t>
            </w:r>
          </w:p>
        </w:tc>
        <w:tc>
          <w:tcPr>
            <w:tcW w:type="dxa" w:w="64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Field agents, regional language content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Legal &amp; Compliance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₹5L</w:t>
            </w:r>
          </w:p>
        </w:tc>
        <w:tc>
          <w:tcPr>
            <w:tcW w:type="dxa" w:w="64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Company registration, data privacy, KYC</w:t>
            </w:r>
          </w:p>
        </w:tc>
      </w:tr>
      <w:tr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Marketing &amp; GTM</w:t>
            </w:r>
          </w:p>
        </w:tc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₹3L</w:t>
            </w:r>
          </w:p>
        </w:tc>
        <w:tc>
          <w:tcPr>
            <w:tcW w:type="dxa" w:w="64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FPO partnerships, pilot mandi outreach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