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2F5D8A"/>
          <w:spacing w:val="60"/>
          <w:sz w:val="24"/>
          <w:szCs w:val="24"/>
        </w:rPr>
        <w:t xml:space="preserve">WEEK 3 TASK</w:t>
      </w:r>
    </w:p>
    <w:p>
      <w:pPr>
        <w:spacing w:after="160"/>
      </w:pPr>
      <w:r>
        <w:rPr>
          <w:rFonts w:ascii="Calibri" w:cs="Calibri" w:eastAsia="Calibri" w:hAnsi="Calibri"/>
          <w:b/>
          <w:bCs/>
          <w:color w:val="1F3A5F"/>
          <w:sz w:val="52"/>
          <w:szCs w:val="52"/>
        </w:rPr>
        <w:t xml:space="preserve">Statistical Analysis and Hypothesis Testing in Python</w:t>
      </w:r>
    </w:p>
    <w:p>
      <w:pPr>
        <w:pBdr>
          <w:bottom w:val="single" w:color="2F5D8A" w:sz="12" w:space="8"/>
        </w:pBdr>
        <w:spacing w:after="360"/>
      </w:pPr>
      <w:r>
        <w:rPr>
          <w:rFonts w:ascii="Calibri" w:cs="Calibri" w:eastAsia="Calibri" w:hAnsi="Calibri"/>
          <w:color w:val="444444"/>
          <w:sz w:val="28"/>
          <w:szCs w:val="28"/>
        </w:rPr>
        <w:t xml:space="preserve">What drives tipping in a restaurant? A hypothesis-driven study of 244 table-level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Item</w:t>
            </w:r>
          </w:p>
        </w:tc>
        <w:tc>
          <w:tcPr>
            <w:tcW w:type="dxa" w:w="71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Detail</w:t>
            </w:r>
          </w:p>
        </w:tc>
      </w:tr>
      <w:tr>
        <w:trPr>
          <w:cantSplit/>
        </w:trPr>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Dataset</w:t>
            </w:r>
          </w:p>
        </w:tc>
        <w:tc>
          <w:tcPr>
            <w:tcW w:type="dxa" w:w="71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Restaurant Tips (public; Bryant &amp; Smith, Practical Data Analysis, 1995; distributed with seaborn)</w:t>
            </w:r>
          </w:p>
        </w:tc>
      </w:tr>
      <w:tr>
        <w:trPr>
          <w:cantSplit/>
        </w:trPr>
        <w:tc>
          <w:tcPr>
            <w:tcW w:type="dxa" w:w="2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Sample</w:t>
            </w:r>
          </w:p>
        </w:tc>
        <w:tc>
          <w:tcPr>
            <w:tcW w:type="dxa" w:w="71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244 parties served by one waiter over 4 days (Thu–Sun)</w:t>
            </w:r>
          </w:p>
        </w:tc>
      </w:tr>
      <w:tr>
        <w:trPr>
          <w:cantSplit/>
        </w:trPr>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Tests</w:t>
            </w:r>
          </w:p>
        </w:tc>
        <w:tc>
          <w:tcPr>
            <w:tcW w:type="dxa" w:w="71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Welch t-test, one-way ANOVA + Tukey HSD, chi-square, Pearson/Spearman, OLS regression, TOST equivalence</w:t>
            </w:r>
          </w:p>
        </w:tc>
      </w:tr>
      <w:tr>
        <w:trPr>
          <w:cantSplit/>
        </w:trPr>
        <w:tc>
          <w:tcPr>
            <w:tcW w:type="dxa" w:w="2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Tools</w:t>
            </w:r>
          </w:p>
        </w:tc>
        <w:tc>
          <w:tcPr>
            <w:tcW w:type="dxa" w:w="71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Python 3 · pandas · SciPy · statsmodels · seaborn · matplotlib</w:t>
            </w:r>
          </w:p>
        </w:tc>
      </w:tr>
      <w:tr>
        <w:trPr>
          <w:cantSplit/>
        </w:trPr>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Significance level</w:t>
            </w:r>
          </w:p>
        </w:tc>
        <w:tc>
          <w:tcPr>
            <w:tcW w:type="dxa" w:w="71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α = 0.05 (two-sided), Holm correction across the four primary hypotheses</w:t>
            </w:r>
          </w:p>
        </w:tc>
      </w:tr>
    </w:tbl>
    <w:p>
      <w:pPr>
        <w:spacing w:after="120"/>
      </w:pPr>
    </w:p>
    <w:p>
      <w:r>
        <w:br w:type="page"/>
      </w:r>
    </w:p>
    <w:p>
      <w:pPr>
        <w:spacing w:after="160"/>
      </w:pPr>
      <w:r>
        <w:rPr>
          <w:rFonts w:ascii="Calibri" w:cs="Calibri" w:eastAsia="Calibri" w:hAnsi="Calibri"/>
          <w:b/>
          <w:bCs/>
          <w:color w:val="1F3A5F"/>
          <w:sz w:val="32"/>
          <w:szCs w:val="32"/>
        </w:rPr>
        <w:t xml:space="preserve">Contents</w:t>
      </w:r>
    </w:p>
    <w:p>
      <w:pPr>
        <w:spacing w:after="120"/>
      </w:pPr>
      <w:r>
        <w:rPr>
          <w:rFonts w:ascii="Calibri" w:cs="Calibri" w:eastAsia="Calibri" w:hAnsi="Calibri"/>
          <w:b/>
          <w:bCs/>
          <w:color w:val="2F5D8A"/>
          <w:sz w:val="24"/>
          <w:szCs w:val="24"/>
        </w:rPr>
        <w:t xml:space="preserve">1.  </w:t>
      </w:r>
      <w:r>
        <w:rPr>
          <w:rFonts w:ascii="Calibri" w:cs="Calibri" w:eastAsia="Calibri" w:hAnsi="Calibri"/>
          <w:sz w:val="24"/>
          <w:szCs w:val="24"/>
        </w:rPr>
        <w:t xml:space="preserve">Executive Summary</w:t>
      </w:r>
    </w:p>
    <w:p>
      <w:pPr>
        <w:spacing w:after="120"/>
      </w:pPr>
      <w:r>
        <w:rPr>
          <w:rFonts w:ascii="Calibri" w:cs="Calibri" w:eastAsia="Calibri" w:hAnsi="Calibri"/>
          <w:b/>
          <w:bCs/>
          <w:color w:val="2F5D8A"/>
          <w:sz w:val="24"/>
          <w:szCs w:val="24"/>
        </w:rPr>
        <w:t xml:space="preserve">2.  </w:t>
      </w:r>
      <w:r>
        <w:rPr>
          <w:rFonts w:ascii="Calibri" w:cs="Calibri" w:eastAsia="Calibri" w:hAnsi="Calibri"/>
          <w:sz w:val="24"/>
          <w:szCs w:val="24"/>
        </w:rPr>
        <w:t xml:space="preserve">Introduction and Hypothesis Formulation</w:t>
      </w:r>
    </w:p>
    <w:p>
      <w:pPr>
        <w:spacing w:after="120"/>
      </w:pPr>
      <w:r>
        <w:rPr>
          <w:rFonts w:ascii="Calibri" w:cs="Calibri" w:eastAsia="Calibri" w:hAnsi="Calibri"/>
          <w:b/>
          <w:bCs/>
          <w:color w:val="2F5D8A"/>
          <w:sz w:val="24"/>
          <w:szCs w:val="24"/>
        </w:rPr>
        <w:t xml:space="preserve">3.  </w:t>
      </w:r>
      <w:r>
        <w:rPr>
          <w:rFonts w:ascii="Calibri" w:cs="Calibri" w:eastAsia="Calibri" w:hAnsi="Calibri"/>
          <w:sz w:val="24"/>
          <w:szCs w:val="24"/>
        </w:rPr>
        <w:t xml:space="preserve">Methodology</w:t>
      </w:r>
    </w:p>
    <w:p>
      <w:pPr>
        <w:spacing w:after="120"/>
      </w:pPr>
      <w:r>
        <w:rPr>
          <w:rFonts w:ascii="Calibri" w:cs="Calibri" w:eastAsia="Calibri" w:hAnsi="Calibri"/>
          <w:b/>
          <w:bCs/>
          <w:color w:val="2F5D8A"/>
          <w:sz w:val="24"/>
          <w:szCs w:val="24"/>
        </w:rPr>
        <w:t xml:space="preserve">4.  </w:t>
      </w:r>
      <w:r>
        <w:rPr>
          <w:rFonts w:ascii="Calibri" w:cs="Calibri" w:eastAsia="Calibri" w:hAnsi="Calibri"/>
          <w:sz w:val="24"/>
          <w:szCs w:val="24"/>
        </w:rPr>
        <w:t xml:space="preserve">Data Description and Exploratory Analysis</w:t>
      </w:r>
    </w:p>
    <w:p>
      <w:pPr>
        <w:spacing w:after="120"/>
      </w:pPr>
      <w:r>
        <w:rPr>
          <w:rFonts w:ascii="Calibri" w:cs="Calibri" w:eastAsia="Calibri" w:hAnsi="Calibri"/>
          <w:b/>
          <w:bCs/>
          <w:color w:val="2F5D8A"/>
          <w:sz w:val="24"/>
          <w:szCs w:val="24"/>
        </w:rPr>
        <w:t xml:space="preserve">5.  </w:t>
      </w:r>
      <w:r>
        <w:rPr>
          <w:rFonts w:ascii="Calibri" w:cs="Calibri" w:eastAsia="Calibri" w:hAnsi="Calibri"/>
          <w:sz w:val="24"/>
          <w:szCs w:val="24"/>
        </w:rPr>
        <w:t xml:space="preserve">Statistical Analysis and Results (H1 – H4)</w:t>
      </w:r>
    </w:p>
    <w:p>
      <w:pPr>
        <w:spacing w:after="120"/>
      </w:pPr>
      <w:r>
        <w:rPr>
          <w:rFonts w:ascii="Calibri" w:cs="Calibri" w:eastAsia="Calibri" w:hAnsi="Calibri"/>
          <w:b/>
          <w:bCs/>
          <w:color w:val="2F5D8A"/>
          <w:sz w:val="24"/>
          <w:szCs w:val="24"/>
        </w:rPr>
        <w:t xml:space="preserve">6.  </w:t>
      </w:r>
      <w:r>
        <w:rPr>
          <w:rFonts w:ascii="Calibri" w:cs="Calibri" w:eastAsia="Calibri" w:hAnsi="Calibri"/>
          <w:sz w:val="24"/>
          <w:szCs w:val="24"/>
        </w:rPr>
        <w:t xml:space="preserve">Robustness, Multiplicity and Sensitivity Checks</w:t>
      </w:r>
    </w:p>
    <w:p>
      <w:pPr>
        <w:spacing w:after="120"/>
      </w:pPr>
      <w:r>
        <w:rPr>
          <w:rFonts w:ascii="Calibri" w:cs="Calibri" w:eastAsia="Calibri" w:hAnsi="Calibri"/>
          <w:b/>
          <w:bCs/>
          <w:color w:val="2F5D8A"/>
          <w:sz w:val="24"/>
          <w:szCs w:val="24"/>
        </w:rPr>
        <w:t xml:space="preserve">7.  </w:t>
      </w:r>
      <w:r>
        <w:rPr>
          <w:rFonts w:ascii="Calibri" w:cs="Calibri" w:eastAsia="Calibri" w:hAnsi="Calibri"/>
          <w:sz w:val="24"/>
          <w:szCs w:val="24"/>
        </w:rPr>
        <w:t xml:space="preserve">Conclusions and Implications</w:t>
      </w:r>
    </w:p>
    <w:p>
      <w:pPr>
        <w:spacing w:after="120"/>
      </w:pPr>
      <w:r>
        <w:rPr>
          <w:rFonts w:ascii="Calibri" w:cs="Calibri" w:eastAsia="Calibri" w:hAnsi="Calibri"/>
          <w:b/>
          <w:bCs/>
          <w:color w:val="2F5D8A"/>
          <w:sz w:val="24"/>
          <w:szCs w:val="24"/>
        </w:rPr>
        <w:t xml:space="preserve">A.  </w:t>
      </w:r>
      <w:r>
        <w:rPr>
          <w:rFonts w:ascii="Calibri" w:cs="Calibri" w:eastAsia="Calibri" w:hAnsi="Calibri"/>
          <w:sz w:val="24"/>
          <w:szCs w:val="24"/>
        </w:rPr>
        <w:t xml:space="preserve">Appendix A: Reproducing the Analysis</w:t>
      </w:r>
    </w:p>
    <w:p>
      <w:pPr>
        <w:spacing w:after="120"/>
      </w:pPr>
      <w:r>
        <w:rPr>
          <w:rFonts w:ascii="Calibri" w:cs="Calibri" w:eastAsia="Calibri" w:hAnsi="Calibri"/>
          <w:b/>
          <w:bCs/>
          <w:color w:val="2F5D8A"/>
          <w:sz w:val="24"/>
          <w:szCs w:val="24"/>
        </w:rPr>
        <w:t xml:space="preserve">B.  </w:t>
      </w:r>
      <w:r>
        <w:rPr>
          <w:rFonts w:ascii="Calibri" w:cs="Calibri" w:eastAsia="Calibri" w:hAnsi="Calibri"/>
          <w:sz w:val="24"/>
          <w:szCs w:val="24"/>
        </w:rPr>
        <w:t xml:space="preserve">Appendix B: References</w:t>
      </w:r>
    </w:p>
    <w:p>
      <w:r>
        <w:br w:type="page"/>
      </w:r>
    </w:p>
    <w:p>
      <w:pPr>
        <w:pStyle w:val="Heading1"/>
      </w:pPr>
      <w:r>
        <w:rPr>
          <w:rFonts w:ascii="Calibri" w:cs="Calibri" w:eastAsia="Calibri" w:hAnsi="Calibri"/>
        </w:rPr>
        <w:t xml:space="preserve">1. Executive Summary</w:t>
      </w:r>
    </w:p>
    <w:p>
      <w:pPr>
        <w:spacing w:after="140" w:line="300"/>
      </w:pPr>
      <w:r>
        <w:rPr>
          <w:rFonts w:ascii="Calibri" w:cs="Calibri" w:eastAsia="Calibri" w:hAnsi="Calibri"/>
          <w:sz w:val="22"/>
          <w:szCs w:val="22"/>
        </w:rPr>
        <w:t xml:space="preserve">Restaurant managers routinely make staffing, scheduling and incentive decisions on the belief that tipping behaviour differs by shift, weekday or customer segment. This study tests that belief formally, using a public dataset of 244 restaurant bills and tips. Four pre-specified hypotheses were tested with appropriate parametric and non-parametric methods, and every result was accompanied by an effect size and a confidence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D0" w:sz="4"/>
              <w:left w:val="single" w:color="2F5D8A" w:sz="24"/>
              <w:bottom w:val="single" w:color="B8C2D0" w:sz="4"/>
              <w:right w:val="single" w:color="B8C2D0" w:sz="4"/>
            </w:tcBorders>
            <w:shd w:fill="EEF3F9" w:color="auto" w:val="clear"/>
            <w:tcMar>
              <w:top w:type="dxa" w:w="100"/>
              <w:left w:type="dxa" w:w="180"/>
              <w:bottom w:type="dxa" w:w="100"/>
              <w:right w:type="dxa" w:w="180"/>
            </w:tcMar>
          </w:tcPr>
          <w:p>
            <w:pPr>
              <w:spacing w:after="60"/>
            </w:pPr>
            <w:r>
              <w:rPr>
                <w:rFonts w:ascii="Calibri" w:cs="Calibri" w:eastAsia="Calibri" w:hAnsi="Calibri"/>
                <w:b/>
                <w:bCs/>
                <w:color w:val="1F3A5F"/>
                <w:sz w:val="21"/>
                <w:szCs w:val="21"/>
              </w:rPr>
              <w:t xml:space="preserve">Headline findings</w:t>
            </w:r>
          </w:p>
          <w:p>
            <w:pPr>
              <w:spacing w:line="290"/>
            </w:pPr>
            <w:r>
              <w:rPr>
                <w:rFonts w:ascii="Calibri" w:cs="Calibri" w:eastAsia="Calibri" w:hAnsi="Calibri"/>
                <w:b/>
                <w:bCs/>
                <w:sz w:val="22"/>
                <w:szCs w:val="22"/>
              </w:rPr>
              <w:t xml:space="preserve">Tip percentage does not differ meaningfully by meal time (H1), day of week (H2) or in the share of ‘generous’ tippers (H3). </w:t>
            </w:r>
            <w:r>
              <w:rPr>
                <w:rFonts w:ascii="Calibri" w:cs="Calibri" w:eastAsia="Calibri" w:hAnsi="Calibri"/>
                <w:sz w:val="22"/>
                <w:szCs w:val="22"/>
              </w:rPr>
              <w:t xml:space="preserve">All three nulls were retained (p = 0.514, 0.469 and 0.546). Effects are small (d = 0.08, η² = 0.010, V = 0.039). </w:t>
            </w:r>
            <w:r>
              <w:rPr>
                <w:rFonts w:ascii="Calibri" w:cs="Calibri" w:eastAsia="Calibri" w:hAnsi="Calibri"/>
                <w:b/>
                <w:bCs/>
                <w:sz w:val="22"/>
                <w:szCs w:val="22"/>
              </w:rPr>
              <w:t xml:space="preserve">Tip amount is strongly related to bill size (H4), </w:t>
            </w:r>
            <w:r>
              <w:rPr>
                <w:rFonts w:ascii="Calibri" w:cs="Calibri" w:eastAsia="Calibri" w:hAnsi="Calibri"/>
                <w:sz w:val="22"/>
                <w:szCs w:val="22"/>
              </w:rPr>
              <w:t xml:space="preserve">r = 0.68, p &lt; 0.001, but the relationship is not proportional: each extra $10 on the bill adds about $1.05 in tips, so the tip percentage falls as bills grow (r = -0.34).</w:t>
            </w:r>
          </w:p>
        </w:tc>
      </w:tr>
    </w:tbl>
    <w:p>
      <w:pPr>
        <w:spacing w:after="120"/>
      </w:pPr>
    </w:p>
    <w:p>
      <w:pPr>
        <w:spacing w:after="140" w:line="300"/>
      </w:pPr>
      <w:r>
        <w:rPr>
          <w:rFonts w:ascii="Calibri" w:cs="Calibri" w:eastAsia="Calibri" w:hAnsi="Calibri"/>
          <w:sz w:val="22"/>
          <w:szCs w:val="22"/>
        </w:rPr>
        <w:t xml:space="preserve">The practical message is that bill size, not calendar or segment variables, is the only reliable predictor of tips in this data. The report also shows why a ‘not significant’ result must be read alongside power and equivalence analysis, rather than as proof of no effect.</w:t>
      </w:r>
    </w:p>
    <w:p>
      <w:pPr>
        <w:pStyle w:val="Heading1"/>
      </w:pPr>
      <w:r>
        <w:rPr>
          <w:rFonts w:ascii="Calibri" w:cs="Calibri" w:eastAsia="Calibri" w:hAnsi="Calibri"/>
        </w:rPr>
        <w:t xml:space="preserve">2. Introduction and Hypothesis Formulation</w:t>
      </w:r>
    </w:p>
    <w:p>
      <w:pPr>
        <w:pStyle w:val="Heading2"/>
      </w:pPr>
      <w:r>
        <w:rPr>
          <w:rFonts w:ascii="Calibri" w:cs="Calibri" w:eastAsia="Calibri" w:hAnsi="Calibri"/>
        </w:rPr>
        <w:t xml:space="preserve">2.1 Business problem</w:t>
      </w:r>
    </w:p>
    <w:p>
      <w:pPr>
        <w:spacing w:after="140" w:line="300"/>
      </w:pPr>
      <w:r>
        <w:rPr>
          <w:rFonts w:ascii="Calibri" w:cs="Calibri" w:eastAsia="Calibri" w:hAnsi="Calibri"/>
          <w:sz w:val="22"/>
          <w:szCs w:val="22"/>
        </w:rPr>
        <w:t xml:space="preserve">Tips form a large share of front-of-house income and are a proxy for customer satisfaction. If tipping rates differ systematically between lunch and dinner, or between weekdays and weekends, a restaurant could justify different staffing levels, training focus or incentive schemes. If they do not, such interventions would be unsupported by the evidence. The question is therefore: which observable factors are associated with how much customers tip?</w:t>
      </w:r>
    </w:p>
    <w:p>
      <w:pPr>
        <w:pStyle w:val="Heading2"/>
      </w:pPr>
      <w:r>
        <w:rPr>
          <w:rFonts w:ascii="Calibri" w:cs="Calibri" w:eastAsia="Calibri" w:hAnsi="Calibri"/>
        </w:rPr>
        <w:t xml:space="preserve">2.2 Formal hypotheses</w:t>
      </w:r>
    </w:p>
    <w:p>
      <w:pPr>
        <w:spacing w:after="140" w:line="300"/>
      </w:pPr>
      <w:r>
        <w:rPr>
          <w:rFonts w:ascii="Calibri" w:cs="Calibri" w:eastAsia="Calibri" w:hAnsi="Calibri"/>
          <w:sz w:val="22"/>
          <w:szCs w:val="22"/>
        </w:rPr>
        <w:t xml:space="preserve">Four testable hypotheses were defined before looking at the outcomes. The outcome variable is tip percentage (tip ÷ total bill × 100), which normalises for the size of the meal.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3260"/>
        <w:gridCol w:w="2300"/>
      </w:tblGrid>
      <w:tr>
        <w:trPr>
          <w:tblHeader/>
        </w:trPr>
        <w:tc>
          <w:tcPr>
            <w:tcW w:type="dxa" w:w="7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ID</w:t>
            </w:r>
          </w:p>
        </w:tc>
        <w:tc>
          <w:tcPr>
            <w:tcW w:type="dxa" w:w="31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Null hypothesis (H₀)</w:t>
            </w:r>
          </w:p>
        </w:tc>
        <w:tc>
          <w:tcPr>
            <w:tcW w:type="dxa" w:w="32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Alternative (H₁)</w:t>
            </w:r>
          </w:p>
        </w:tc>
        <w:tc>
          <w:tcPr>
            <w:tcW w:type="dxa" w:w="23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Test</w:t>
            </w:r>
          </w:p>
        </w:tc>
      </w:tr>
      <w:tr>
        <w:trPr>
          <w:cantSplit/>
        </w:trPr>
        <w:tc>
          <w:tcPr>
            <w:tcW w:type="dxa" w:w="7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H1</w:t>
            </w:r>
          </w:p>
        </w:tc>
        <w:tc>
          <w:tcPr>
            <w:tcW w:type="dxa" w:w="31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Mean tip % is equal at lunch and dinner</w:t>
            </w:r>
          </w:p>
        </w:tc>
        <w:tc>
          <w:tcPr>
            <w:tcW w:type="dxa" w:w="32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Mean tip % differs between lunch and dinner</w:t>
            </w:r>
          </w:p>
        </w:tc>
        <w:tc>
          <w:tcPr>
            <w:tcW w:type="dxa" w:w="23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Welch t-test</w:t>
            </w:r>
          </w:p>
        </w:tc>
      </w:tr>
      <w:tr>
        <w:trPr>
          <w:cantSplit/>
        </w:trPr>
        <w:tc>
          <w:tcPr>
            <w:tcW w:type="dxa" w:w="7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H2</w:t>
            </w:r>
          </w:p>
        </w:tc>
        <w:tc>
          <w:tcPr>
            <w:tcW w:type="dxa" w:w="31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Mean tip % is equal on all four days</w:t>
            </w:r>
          </w:p>
        </w:tc>
        <w:tc>
          <w:tcPr>
            <w:tcW w:type="dxa" w:w="32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At least one day has a different mean tip %</w:t>
            </w:r>
          </w:p>
        </w:tc>
        <w:tc>
          <w:tcPr>
            <w:tcW w:type="dxa" w:w="23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One-way ANOVA</w:t>
            </w:r>
          </w:p>
        </w:tc>
      </w:tr>
      <w:tr>
        <w:trPr>
          <w:cantSplit/>
        </w:trPr>
        <w:tc>
          <w:tcPr>
            <w:tcW w:type="dxa" w:w="7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H3</w:t>
            </w:r>
          </w:p>
        </w:tc>
        <w:tc>
          <w:tcPr>
            <w:tcW w:type="dxa" w:w="31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Being a ‘generous’ tipper (≥ 15%) is independent of meal time</w:t>
            </w:r>
          </w:p>
        </w:tc>
        <w:tc>
          <w:tcPr>
            <w:tcW w:type="dxa" w:w="32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Generosity is associated with meal time</w:t>
            </w:r>
          </w:p>
        </w:tc>
        <w:tc>
          <w:tcPr>
            <w:tcW w:type="dxa" w:w="23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Chi-square test of independence</w:t>
            </w:r>
          </w:p>
        </w:tc>
      </w:tr>
      <w:tr>
        <w:trPr>
          <w:cantSplit/>
        </w:trPr>
        <w:tc>
          <w:tcPr>
            <w:tcW w:type="dxa" w:w="7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H4</w:t>
            </w:r>
          </w:p>
        </w:tc>
        <w:tc>
          <w:tcPr>
            <w:tcW w:type="dxa" w:w="31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Tip amount is uncorrelated with bill size (ρ = 0)</w:t>
            </w:r>
          </w:p>
        </w:tc>
        <w:tc>
          <w:tcPr>
            <w:tcW w:type="dxa" w:w="32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Tip amount and bill size are correlated (ρ ≠ 0)</w:t>
            </w:r>
          </w:p>
        </w:tc>
        <w:tc>
          <w:tcPr>
            <w:tcW w:type="dxa" w:w="23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Pearson r + OLS regression</w:t>
            </w:r>
          </w:p>
        </w:tc>
      </w:tr>
    </w:tbl>
    <w:p>
      <w:pPr>
        <w:spacing w:after="120"/>
      </w:pPr>
    </w:p>
    <w:p>
      <w:pPr>
        <w:pStyle w:val="Heading1"/>
      </w:pPr>
      <w:r>
        <w:rPr>
          <w:rFonts w:ascii="Calibri" w:cs="Calibri" w:eastAsia="Calibri" w:hAnsi="Calibri"/>
        </w:rPr>
        <w:t xml:space="preserve">3. Methodology</w:t>
      </w:r>
    </w:p>
    <w:p>
      <w:pPr>
        <w:pStyle w:val="Heading2"/>
      </w:pPr>
      <w:r>
        <w:rPr>
          <w:rFonts w:ascii="Calibri" w:cs="Calibri" w:eastAsia="Calibri" w:hAnsi="Calibri"/>
        </w:rPr>
        <w:t xml:space="preserve">3.1 Study design and data</w:t>
      </w:r>
    </w:p>
    <w:p>
      <w:pPr>
        <w:spacing w:after="140" w:line="300"/>
      </w:pPr>
      <w:r>
        <w:rPr>
          <w:rFonts w:ascii="Calibri" w:cs="Calibri" w:eastAsia="Calibri" w:hAnsi="Calibri"/>
          <w:sz w:val="22"/>
          <w:szCs w:val="22"/>
        </w:rPr>
        <w:t xml:space="preserve">The study is an observational, cross-sectional analysis of an existing public dataset, so no random assignment was possible. Each row is one party’s bill. The data were loaded directly into pandas; the variables used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Variable</w:t>
            </w:r>
          </w:p>
        </w:tc>
        <w:tc>
          <w:tcPr>
            <w:tcW w:type="dxa" w:w="22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Type</w:t>
            </w:r>
          </w:p>
        </w:tc>
        <w:tc>
          <w:tcPr>
            <w:tcW w:type="dxa" w:w="47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Description</w:t>
            </w:r>
          </w:p>
        </w:tc>
      </w:tr>
      <w:tr>
        <w:trPr>
          <w:cantSplit/>
        </w:trPr>
        <w:tc>
          <w:tcPr>
            <w:tcW w:type="dxa" w:w="2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total_bill</w:t>
            </w:r>
          </w:p>
        </w:tc>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Continuous ($)</w:t>
            </w:r>
          </w:p>
        </w:tc>
        <w:tc>
          <w:tcPr>
            <w:tcW w:type="dxa" w:w="47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Bill amount</w:t>
            </w:r>
          </w:p>
        </w:tc>
      </w:tr>
      <w:tr>
        <w:trPr>
          <w:cantSplit/>
        </w:trPr>
        <w:tc>
          <w:tcPr>
            <w:tcW w:type="dxa" w:w="2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tip</w:t>
            </w:r>
          </w:p>
        </w:tc>
        <w:tc>
          <w:tcPr>
            <w:tcW w:type="dxa" w:w="2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Continuous ($)</w:t>
            </w:r>
          </w:p>
        </w:tc>
        <w:tc>
          <w:tcPr>
            <w:tcW w:type="dxa" w:w="47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Tip given</w:t>
            </w:r>
          </w:p>
        </w:tc>
      </w:tr>
      <w:tr>
        <w:trPr>
          <w:cantSplit/>
        </w:trPr>
        <w:tc>
          <w:tcPr>
            <w:tcW w:type="dxa" w:w="2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tip_pct (derived)</w:t>
            </w:r>
          </w:p>
        </w:tc>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Continuous (%)</w:t>
            </w:r>
          </w:p>
        </w:tc>
        <w:tc>
          <w:tcPr>
            <w:tcW w:type="dxa" w:w="47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tip / total_bill × 100</w:t>
            </w:r>
          </w:p>
        </w:tc>
      </w:tr>
      <w:tr>
        <w:trPr>
          <w:cantSplit/>
        </w:trPr>
        <w:tc>
          <w:tcPr>
            <w:tcW w:type="dxa" w:w="2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generous (derived)</w:t>
            </w:r>
          </w:p>
        </w:tc>
        <w:tc>
          <w:tcPr>
            <w:tcW w:type="dxa" w:w="2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Binary</w:t>
            </w:r>
          </w:p>
        </w:tc>
        <w:tc>
          <w:tcPr>
            <w:tcW w:type="dxa" w:w="47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 if tip_pct ≥ 15, else 0</w:t>
            </w:r>
          </w:p>
        </w:tc>
      </w:tr>
      <w:tr>
        <w:trPr>
          <w:cantSplit/>
        </w:trPr>
        <w:tc>
          <w:tcPr>
            <w:tcW w:type="dxa" w:w="2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time</w:t>
            </w:r>
          </w:p>
        </w:tc>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Categorical</w:t>
            </w:r>
          </w:p>
        </w:tc>
        <w:tc>
          <w:tcPr>
            <w:tcW w:type="dxa" w:w="47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Lunch or Dinner</w:t>
            </w:r>
          </w:p>
        </w:tc>
      </w:tr>
      <w:tr>
        <w:trPr>
          <w:cantSplit/>
        </w:trPr>
        <w:tc>
          <w:tcPr>
            <w:tcW w:type="dxa" w:w="2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day</w:t>
            </w:r>
          </w:p>
        </w:tc>
        <w:tc>
          <w:tcPr>
            <w:tcW w:type="dxa" w:w="2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Categorical</w:t>
            </w:r>
          </w:p>
        </w:tc>
        <w:tc>
          <w:tcPr>
            <w:tcW w:type="dxa" w:w="47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Thu, Fri, Sat, Sun</w:t>
            </w:r>
          </w:p>
        </w:tc>
      </w:tr>
      <w:tr>
        <w:trPr>
          <w:cantSplit/>
        </w:trPr>
        <w:tc>
          <w:tcPr>
            <w:tcW w:type="dxa" w:w="2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sex, smoker, size</w:t>
            </w:r>
          </w:p>
        </w:tc>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Categorical / count</w:t>
            </w:r>
          </w:p>
        </w:tc>
        <w:tc>
          <w:tcPr>
            <w:tcW w:type="dxa" w:w="47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Payer’s sex, smoking section, party size</w:t>
            </w:r>
          </w:p>
        </w:tc>
      </w:tr>
    </w:tbl>
    <w:p>
      <w:pPr>
        <w:spacing w:after="120"/>
      </w:pPr>
    </w:p>
    <w:p>
      <w:pPr>
        <w:pStyle w:val="Heading2"/>
      </w:pPr>
      <w:r>
        <w:rPr>
          <w:rFonts w:ascii="Calibri" w:cs="Calibri" w:eastAsia="Calibri" w:hAnsi="Calibri"/>
        </w:rPr>
        <w:t xml:space="preserve">3.2 Analytical approach</w:t>
      </w:r>
    </w:p>
    <w:p>
      <w:pPr>
        <w:pStyle w:val="ListParagraph"/>
        <w:numPr>
          <w:ilvl w:val="0"/>
          <w:numId w:val="2"/>
        </w:numPr>
        <w:spacing w:after="80" w:line="290"/>
      </w:pPr>
      <w:r>
        <w:rPr>
          <w:rFonts w:ascii="Calibri" w:cs="Calibri" w:eastAsia="Calibri" w:hAnsi="Calibri"/>
          <w:b/>
          <w:bCs/>
          <w:sz w:val="22"/>
          <w:szCs w:val="22"/>
        </w:rPr>
        <w:t xml:space="preserve">Data quality: </w:t>
      </w:r>
      <w:r>
        <w:rPr>
          <w:rFonts w:ascii="Calibri" w:cs="Calibri" w:eastAsia="Calibri" w:hAnsi="Calibri"/>
          <w:sz w:val="22"/>
          <w:szCs w:val="22"/>
        </w:rPr>
        <w:t xml:space="preserve">missing values, duplicates, distribution shape and outliers were checked before any inference.</w:t>
      </w:r>
    </w:p>
    <w:p>
      <w:pPr>
        <w:pStyle w:val="ListParagraph"/>
        <w:numPr>
          <w:ilvl w:val="0"/>
          <w:numId w:val="2"/>
        </w:numPr>
        <w:spacing w:after="80" w:line="290"/>
      </w:pPr>
      <w:r>
        <w:rPr>
          <w:rFonts w:ascii="Calibri" w:cs="Calibri" w:eastAsia="Calibri" w:hAnsi="Calibri"/>
          <w:b/>
          <w:bCs/>
          <w:sz w:val="22"/>
          <w:szCs w:val="22"/>
        </w:rPr>
        <w:t xml:space="preserve">Assumption checks: </w:t>
      </w:r>
      <w:r>
        <w:rPr>
          <w:rFonts w:ascii="Calibri" w:cs="Calibri" w:eastAsia="Calibri" w:hAnsi="Calibri"/>
          <w:sz w:val="22"/>
          <w:szCs w:val="22"/>
        </w:rPr>
        <w:t xml:space="preserve">Shapiro–Wilk (normality), Levene/Brown–Forsythe (equal variances), Q-Q plots and Breusch–Pagan (heteroscedasticity).</w:t>
      </w:r>
    </w:p>
    <w:p>
      <w:pPr>
        <w:pStyle w:val="ListParagraph"/>
        <w:numPr>
          <w:ilvl w:val="0"/>
          <w:numId w:val="2"/>
        </w:numPr>
        <w:spacing w:after="80" w:line="290"/>
      </w:pPr>
      <w:r>
        <w:rPr>
          <w:rFonts w:ascii="Calibri" w:cs="Calibri" w:eastAsia="Calibri" w:hAnsi="Calibri"/>
          <w:b/>
          <w:bCs/>
          <w:sz w:val="22"/>
          <w:szCs w:val="22"/>
        </w:rPr>
        <w:t xml:space="preserve">Primary tests: </w:t>
      </w:r>
      <w:r>
        <w:rPr>
          <w:rFonts w:ascii="Calibri" w:cs="Calibri" w:eastAsia="Calibri" w:hAnsi="Calibri"/>
          <w:sz w:val="22"/>
          <w:szCs w:val="22"/>
        </w:rPr>
        <w:t xml:space="preserve">Welch t-test (no equal-variance assumption), ANOVA with Tukey HSD post-hoc, Pearson chi-square, and Pearson correlation with OLS regression.</w:t>
      </w:r>
    </w:p>
    <w:p>
      <w:pPr>
        <w:pStyle w:val="ListParagraph"/>
        <w:numPr>
          <w:ilvl w:val="0"/>
          <w:numId w:val="2"/>
        </w:numPr>
        <w:spacing w:after="80" w:line="290"/>
      </w:pPr>
      <w:r>
        <w:rPr>
          <w:rFonts w:ascii="Calibri" w:cs="Calibri" w:eastAsia="Calibri" w:hAnsi="Calibri"/>
          <w:b/>
          <w:bCs/>
          <w:sz w:val="22"/>
          <w:szCs w:val="22"/>
        </w:rPr>
        <w:t xml:space="preserve">Robustness: </w:t>
      </w:r>
      <w:r>
        <w:rPr>
          <w:rFonts w:ascii="Calibri" w:cs="Calibri" w:eastAsia="Calibri" w:hAnsi="Calibri"/>
          <w:sz w:val="22"/>
          <w:szCs w:val="22"/>
        </w:rPr>
        <w:t xml:space="preserve">a non-parametric counterpart for each test (Mann–Whitney, Kruskal–Wallis, Fisher’s exact, Spearman), bootstrap confidence intervals and heteroscedasticity-robust (HC3) standard errors.</w:t>
      </w:r>
    </w:p>
    <w:p>
      <w:pPr>
        <w:pStyle w:val="ListParagraph"/>
        <w:numPr>
          <w:ilvl w:val="0"/>
          <w:numId w:val="2"/>
        </w:numPr>
        <w:spacing w:after="80" w:line="290"/>
      </w:pPr>
      <w:r>
        <w:rPr>
          <w:rFonts w:ascii="Calibri" w:cs="Calibri" w:eastAsia="Calibri" w:hAnsi="Calibri"/>
          <w:b/>
          <w:bCs/>
          <w:sz w:val="22"/>
          <w:szCs w:val="22"/>
        </w:rPr>
        <w:t xml:space="preserve">Effect sizes and CIs: </w:t>
      </w:r>
      <w:r>
        <w:rPr>
          <w:rFonts w:ascii="Calibri" w:cs="Calibri" w:eastAsia="Calibri" w:hAnsi="Calibri"/>
          <w:sz w:val="22"/>
          <w:szCs w:val="22"/>
        </w:rPr>
        <w:t xml:space="preserve">Cohen’s d, η², Cramér’s V, r and regression slopes, each with a 95% confidence interval wherever applicable.</w:t>
      </w:r>
    </w:p>
    <w:p>
      <w:pPr>
        <w:pStyle w:val="ListParagraph"/>
        <w:numPr>
          <w:ilvl w:val="0"/>
          <w:numId w:val="2"/>
        </w:numPr>
        <w:spacing w:after="80" w:line="290"/>
      </w:pPr>
      <w:r>
        <w:rPr>
          <w:rFonts w:ascii="Calibri" w:cs="Calibri" w:eastAsia="Calibri" w:hAnsi="Calibri"/>
          <w:b/>
          <w:bCs/>
          <w:sz w:val="22"/>
          <w:szCs w:val="22"/>
        </w:rPr>
        <w:t xml:space="preserve">Power and equivalence: </w:t>
      </w:r>
      <w:r>
        <w:rPr>
          <w:rFonts w:ascii="Calibri" w:cs="Calibri" w:eastAsia="Calibri" w:hAnsi="Calibri"/>
          <w:sz w:val="22"/>
          <w:szCs w:val="22"/>
        </w:rPr>
        <w:t xml:space="preserve">power and minimum detectable effect for H1, and a TOST equivalence test, so that non-significant results can be interpreted properly.</w:t>
      </w:r>
    </w:p>
    <w:p>
      <w:pPr>
        <w:pStyle w:val="ListParagraph"/>
        <w:numPr>
          <w:ilvl w:val="0"/>
          <w:numId w:val="2"/>
        </w:numPr>
        <w:spacing w:after="80" w:line="290"/>
      </w:pPr>
      <w:r>
        <w:rPr>
          <w:rFonts w:ascii="Calibri" w:cs="Calibri" w:eastAsia="Calibri" w:hAnsi="Calibri"/>
          <w:b/>
          <w:bCs/>
          <w:sz w:val="22"/>
          <w:szCs w:val="22"/>
        </w:rPr>
        <w:t xml:space="preserve">Multiplicity: </w:t>
      </w:r>
      <w:r>
        <w:rPr>
          <w:rFonts w:ascii="Calibri" w:cs="Calibri" w:eastAsia="Calibri" w:hAnsi="Calibri"/>
          <w:sz w:val="22"/>
          <w:szCs w:val="22"/>
        </w:rPr>
        <w:t xml:space="preserve">Holm–Bonferroni adjustment across the four primary p-values.</w:t>
      </w:r>
    </w:p>
    <w:p>
      <w:pPr>
        <w:pStyle w:val="Heading2"/>
      </w:pPr>
      <w:r>
        <w:rPr>
          <w:rFonts w:ascii="Calibri" w:cs="Calibri" w:eastAsia="Calibri" w:hAnsi="Calibri"/>
        </w:rPr>
        <w:t xml:space="preserve">3.3 Setup code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import numpy as np, pandas as pd</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from scipy import stats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import statsmodels.api as sm, statsmodels.formula.api as smf</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from statsmodels.stats.multicomp import pairwise_tukeyhsd</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from statsmodels.stats.power import TTestIndPower</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import matplotlib.pyplot as plt, seaborn as sns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df = pd.read_csv("tips.csv")</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df["tip_pct"]  = df["tip"] / df["total_bill"] * 100</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df["generous"] = (df["tip_pct"] &gt;= 15).astype(int)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df["day"] = pd.Categorical(df["day"], ["Thur","Fri","Sat","Sun"], ordered=True)</w:t>
      </w:r>
    </w:p>
    <w:p>
      <w:pPr>
        <w:spacing w:after="120"/>
      </w:pPr>
    </w:p>
    <w:p>
      <w:pPr>
        <w:pStyle w:val="Heading1"/>
      </w:pPr>
      <w:r>
        <w:rPr>
          <w:rFonts w:ascii="Calibri" w:cs="Calibri" w:eastAsia="Calibri" w:hAnsi="Calibri"/>
        </w:rPr>
        <w:t xml:space="preserve">4. Data Description and Exploratory Analysis</w:t>
      </w:r>
    </w:p>
    <w:p>
      <w:pPr>
        <w:spacing w:after="140" w:line="300"/>
      </w:pPr>
      <w:r>
        <w:rPr>
          <w:rFonts w:ascii="Calibri" w:cs="Calibri" w:eastAsia="Calibri" w:hAnsi="Calibri"/>
          <w:sz w:val="22"/>
          <w:szCs w:val="22"/>
        </w:rPr>
        <w:t xml:space="preserve">The dataset contains 244 observations with 0 missing values. One pair of rows is identical (two $13.00 bills with a $2.00 tip, Thursday lunch, same party profile); because coincident bills are plausible they were retained. Dinner accounts for 176 parties and lunch for 68.</w:t>
      </w:r>
    </w:p>
    <w:p>
      <w:pPr>
        <w:keepNext/>
        <w:spacing w:after="80" w:before="160"/>
        <w:jc w:val="center"/>
      </w:pPr>
      <w:r>
        <w:rPr>
          <w:rFonts w:ascii="Calibri" w:cs="Calibri" w:eastAsia="Calibri" w:hAnsi="Calibri"/>
          <w:i/>
          <w:iCs/>
          <w:color w:val="555555"/>
          <w:sz w:val="19"/>
          <w:szCs w:val="19"/>
        </w:rPr>
        <w:t xml:space="preserve">Table 1. Descriptive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rPr>
          <w:tblHeader/>
        </w:trPr>
        <w:tc>
          <w:tcPr>
            <w:tcW w:type="dxa" w:w="23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Variable</w:t>
            </w:r>
          </w:p>
        </w:tc>
        <w:tc>
          <w:tcPr>
            <w:tcW w:type="dxa" w:w="14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Mean</w:t>
            </w:r>
          </w:p>
        </w:tc>
        <w:tc>
          <w:tcPr>
            <w:tcW w:type="dxa" w:w="14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Std. dev.</w:t>
            </w:r>
          </w:p>
        </w:tc>
        <w:tc>
          <w:tcPr>
            <w:tcW w:type="dxa" w:w="14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Min</w:t>
            </w:r>
          </w:p>
        </w:tc>
        <w:tc>
          <w:tcPr>
            <w:tcW w:type="dxa" w:w="14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Median</w:t>
            </w:r>
          </w:p>
        </w:tc>
        <w:tc>
          <w:tcPr>
            <w:tcW w:type="dxa" w:w="14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Max</w:t>
            </w:r>
          </w:p>
        </w:tc>
      </w:tr>
      <w:tr>
        <w:trPr>
          <w:cantSplit/>
        </w:trPr>
        <w:tc>
          <w:tcPr>
            <w:tcW w:type="dxa" w:w="2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Total bill ($)</w:t>
            </w:r>
          </w:p>
        </w:tc>
        <w:tc>
          <w:tcPr>
            <w:tcW w:type="dxa" w:w="1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19.79</w:t>
            </w:r>
          </w:p>
        </w:tc>
        <w:tc>
          <w:tcPr>
            <w:tcW w:type="dxa" w:w="1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8.90</w:t>
            </w:r>
          </w:p>
        </w:tc>
        <w:tc>
          <w:tcPr>
            <w:tcW w:type="dxa" w:w="1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3.07</w:t>
            </w:r>
          </w:p>
        </w:tc>
        <w:tc>
          <w:tcPr>
            <w:tcW w:type="dxa" w:w="1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17.80</w:t>
            </w:r>
          </w:p>
        </w:tc>
        <w:tc>
          <w:tcPr>
            <w:tcW w:type="dxa" w:w="1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50.81</w:t>
            </w:r>
          </w:p>
        </w:tc>
      </w:tr>
      <w:tr>
        <w:trPr>
          <w:cantSplit/>
        </w:trPr>
        <w:tc>
          <w:tcPr>
            <w:tcW w:type="dxa" w:w="23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Tip ($)</w:t>
            </w:r>
          </w:p>
        </w:tc>
        <w:tc>
          <w:tcPr>
            <w:tcW w:type="dxa" w:w="1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3.00</w:t>
            </w:r>
          </w:p>
        </w:tc>
        <w:tc>
          <w:tcPr>
            <w:tcW w:type="dxa" w:w="1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1.38</w:t>
            </w:r>
          </w:p>
        </w:tc>
        <w:tc>
          <w:tcPr>
            <w:tcW w:type="dxa" w:w="1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1.00</w:t>
            </w:r>
          </w:p>
        </w:tc>
        <w:tc>
          <w:tcPr>
            <w:tcW w:type="dxa" w:w="1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2.90</w:t>
            </w:r>
          </w:p>
        </w:tc>
        <w:tc>
          <w:tcPr>
            <w:tcW w:type="dxa" w:w="1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10.00</w:t>
            </w:r>
          </w:p>
        </w:tc>
      </w:tr>
      <w:tr>
        <w:trPr>
          <w:cantSplit/>
        </w:trPr>
        <w:tc>
          <w:tcPr>
            <w:tcW w:type="dxa" w:w="2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Tip (%)</w:t>
            </w:r>
          </w:p>
        </w:tc>
        <w:tc>
          <w:tcPr>
            <w:tcW w:type="dxa" w:w="1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16.08</w:t>
            </w:r>
          </w:p>
        </w:tc>
        <w:tc>
          <w:tcPr>
            <w:tcW w:type="dxa" w:w="1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6.11</w:t>
            </w:r>
          </w:p>
        </w:tc>
        <w:tc>
          <w:tcPr>
            <w:tcW w:type="dxa" w:w="1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3.56</w:t>
            </w:r>
          </w:p>
        </w:tc>
        <w:tc>
          <w:tcPr>
            <w:tcW w:type="dxa" w:w="1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15.48</w:t>
            </w:r>
          </w:p>
        </w:tc>
        <w:tc>
          <w:tcPr>
            <w:tcW w:type="dxa" w:w="1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71.03</w:t>
            </w:r>
          </w:p>
        </w:tc>
      </w:tr>
      <w:tr>
        <w:trPr>
          <w:cantSplit/>
        </w:trPr>
        <w:tc>
          <w:tcPr>
            <w:tcW w:type="dxa" w:w="23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Party size</w:t>
            </w:r>
          </w:p>
        </w:tc>
        <w:tc>
          <w:tcPr>
            <w:tcW w:type="dxa" w:w="1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2.57</w:t>
            </w:r>
          </w:p>
        </w:tc>
        <w:tc>
          <w:tcPr>
            <w:tcW w:type="dxa" w:w="1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0.95</w:t>
            </w:r>
          </w:p>
        </w:tc>
        <w:tc>
          <w:tcPr>
            <w:tcW w:type="dxa" w:w="1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1.00</w:t>
            </w:r>
          </w:p>
        </w:tc>
        <w:tc>
          <w:tcPr>
            <w:tcW w:type="dxa" w:w="1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2.00</w:t>
            </w:r>
          </w:p>
        </w:tc>
        <w:tc>
          <w:tcPr>
            <w:tcW w:type="dxa" w:w="1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6.00</w:t>
            </w:r>
          </w:p>
        </w:tc>
      </w:tr>
    </w:tbl>
    <w:p>
      <w:pPr>
        <w:keepNext/>
        <w:spacing w:after="40" w:before="100"/>
        <w:jc w:val="center"/>
      </w:pPr>
      <w:r>
        <w:drawing>
          <wp:inline distT="0" distB="0" distL="0" distR="0">
            <wp:extent cx="5943600" cy="1733550"/>
            <wp:effectExtent t="0" r="0" b="0" l="0"/>
            <wp:docPr id="1" name="fig1_distributions.png" descr="fig1_distributions.png" title="fig1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733550"/>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1. Distributions of bill, tip and tip percentage</w:t>
      </w:r>
    </w:p>
    <w:p>
      <w:pPr>
        <w:spacing w:after="140" w:line="300"/>
      </w:pPr>
      <w:r>
        <w:rPr>
          <w:rFonts w:ascii="Calibri" w:cs="Calibri" w:eastAsia="Calibri" w:hAnsi="Calibri"/>
          <w:sz w:val="22"/>
          <w:szCs w:val="22"/>
        </w:rPr>
        <w:t xml:space="preserve">Bills and tips are right-skewed, as is typical for spending data. Tip percentage is centred near 16.1% but has a heavy right tail (skewness = 3.33, excess kurtosis = 26.6), caused by a handful of very high tippers, including one party that tipped 71% on a small bill. This matters for method choice: normality-based tests on tip % need robustness checks, which is why every parametric test below is paired with a non-parametric alternative.</w:t>
      </w:r>
    </w:p>
    <w:p>
      <w:pPr>
        <w:spacing w:after="140" w:line="300"/>
      </w:pPr>
      <w:r>
        <w:rPr>
          <w:rFonts w:ascii="Calibri" w:cs="Calibri" w:eastAsia="Calibri" w:hAnsi="Calibri"/>
          <w:b/>
          <w:bCs/>
          <w:sz w:val="22"/>
          <w:szCs w:val="22"/>
        </w:rPr>
        <w:t xml:space="preserve">Design caveat: </w:t>
      </w:r>
      <w:r>
        <w:rPr>
          <w:rFonts w:ascii="Calibri" w:cs="Calibri" w:eastAsia="Calibri" w:hAnsi="Calibri"/>
          <w:sz w:val="22"/>
          <w:szCs w:val="22"/>
        </w:rPr>
        <w:t xml:space="preserve">meal time and day of week are almost perfectly entangled. Lunch occurs on 61 of 62 Thursday parties and 7 of 19 Friday parties and never on weekends, while Saturday and Sunday are dinner-only. H1 and H2 therefore cannot be separated cleanly from each other, which is noted again in the limitations.</w:t>
      </w:r>
    </w:p>
    <w:p>
      <w:pPr>
        <w:pStyle w:val="Heading1"/>
      </w:pPr>
      <w:r>
        <w:rPr>
          <w:rFonts w:ascii="Calibri" w:cs="Calibri" w:eastAsia="Calibri" w:hAnsi="Calibri"/>
        </w:rPr>
        <w:t xml:space="preserve">5. Statistical Analysis and Results</w:t>
      </w:r>
    </w:p>
    <w:p>
      <w:pPr>
        <w:pStyle w:val="Heading2"/>
      </w:pPr>
      <w:r>
        <w:rPr>
          <w:rFonts w:ascii="Calibri" w:cs="Calibri" w:eastAsia="Calibri" w:hAnsi="Calibri"/>
        </w:rPr>
        <w:t xml:space="preserve">5.1 H1: Does tip percentage differ between lunch and dinner?</w:t>
      </w:r>
    </w:p>
    <w:p>
      <w:pPr>
        <w:spacing w:after="140" w:line="300"/>
      </w:pPr>
      <w:r>
        <w:rPr>
          <w:rFonts w:ascii="Calibri" w:cs="Calibri" w:eastAsia="Calibri" w:hAnsi="Calibri"/>
          <w:sz w:val="22"/>
          <w:szCs w:val="22"/>
        </w:rPr>
        <w:t xml:space="preserve">A Welch t-test was used because group sizes are unequal (68 vs 176) and variances may differ. Normality and variance assumptions were checked first.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lunch  = df.loc[df.time == "Lunch",  "tip_pct"]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dinner = df.loc[df.time == "Dinner", "tip_pct"]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stats.shapiro(lunch), stats.shapiro(dinner)             # normality</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stats.levene(lunch, dinner, center="median")            # equal variances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t = stats.ttest_ind(lunch, dinner, equal_var=False)     # Welch t-test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stats.mannwhitneyu(lunch, dinner)                       # non-parametric check</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Cohen's d with pooled SD; bootstrap CI from 10,000 resamples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boot = [rng.choice(lunch, 68).mean() - rng.choice(dinner, 176).mean()</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for _ in range(10000)]</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TTestIndPower().power(effect_size=d, nobs1=68, ratio=176/68, alpha=.05)</w:t>
      </w:r>
    </w:p>
    <w:p>
      <w:pPr>
        <w:spacing w:after="120"/>
      </w:pPr>
    </w:p>
    <w:p>
      <w:pPr>
        <w:keepNext/>
        <w:spacing w:after="80" w:before="160"/>
        <w:jc w:val="center"/>
      </w:pPr>
      <w:r>
        <w:rPr>
          <w:rFonts w:ascii="Calibri" w:cs="Calibri" w:eastAsia="Calibri" w:hAnsi="Calibri"/>
          <w:i/>
          <w:iCs/>
          <w:color w:val="555555"/>
          <w:sz w:val="19"/>
          <w:szCs w:val="19"/>
        </w:rPr>
        <w:t xml:space="preserve">Table 2. Group summaries for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Statistic</w:t>
            </w:r>
          </w:p>
        </w:tc>
        <w:tc>
          <w:tcPr>
            <w:tcW w:type="dxa" w:w="30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Lunch (n = 68)</w:t>
            </w:r>
          </w:p>
        </w:tc>
        <w:tc>
          <w:tcPr>
            <w:tcW w:type="dxa" w:w="30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Dinner (n = 176)</w:t>
            </w:r>
          </w:p>
        </w:tc>
      </w:tr>
      <w:tr>
        <w:trPr>
          <w:cantSplit/>
        </w:trPr>
        <w:tc>
          <w:tcPr>
            <w:tcW w:type="dxa" w:w="3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Mean tip %</w:t>
            </w:r>
          </w:p>
        </w:tc>
        <w:tc>
          <w:tcPr>
            <w:tcW w:type="dxa" w:w="3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16.41</w:t>
            </w:r>
          </w:p>
        </w:tc>
        <w:tc>
          <w:tcPr>
            <w:tcW w:type="dxa" w:w="3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15.95</w:t>
            </w:r>
          </w:p>
        </w:tc>
      </w:tr>
      <w:tr>
        <w:trPr>
          <w:cantSplit/>
        </w:trPr>
        <w:tc>
          <w:tcPr>
            <w:tcW w:type="dxa" w:w="33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Std. deviation</w:t>
            </w:r>
          </w:p>
        </w:tc>
        <w:tc>
          <w:tcPr>
            <w:tcW w:type="dxa" w:w="3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4.02</w:t>
            </w:r>
          </w:p>
        </w:tc>
        <w:tc>
          <w:tcPr>
            <w:tcW w:type="dxa" w:w="3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6.75</w:t>
            </w:r>
          </w:p>
        </w:tc>
      </w:tr>
      <w:tr>
        <w:trPr>
          <w:cantSplit/>
        </w:trPr>
        <w:tc>
          <w:tcPr>
            <w:tcW w:type="dxa" w:w="3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Median tip %</w:t>
            </w:r>
          </w:p>
        </w:tc>
        <w:tc>
          <w:tcPr>
            <w:tcW w:type="dxa" w:w="3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15.41</w:t>
            </w:r>
          </w:p>
        </w:tc>
        <w:tc>
          <w:tcPr>
            <w:tcW w:type="dxa" w:w="3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15.54</w:t>
            </w:r>
          </w:p>
        </w:tc>
      </w:tr>
      <w:tr>
        <w:trPr>
          <w:cantSplit/>
        </w:trPr>
        <w:tc>
          <w:tcPr>
            <w:tcW w:type="dxa" w:w="33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Shapiro–Wilk p</w:t>
            </w:r>
          </w:p>
        </w:tc>
        <w:tc>
          <w:tcPr>
            <w:tcW w:type="dxa" w:w="3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0.485</w:t>
            </w:r>
          </w:p>
        </w:tc>
        <w:tc>
          <w:tcPr>
            <w:tcW w:type="dxa" w:w="3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&lt; 0.001</w:t>
            </w:r>
          </w:p>
        </w:tc>
      </w:tr>
    </w:tbl>
    <w:p>
      <w:pPr>
        <w:keepNext/>
        <w:spacing w:after="80" w:before="160"/>
        <w:jc w:val="center"/>
      </w:pPr>
      <w:r>
        <w:rPr>
          <w:rFonts w:ascii="Calibri" w:cs="Calibri" w:eastAsia="Calibri" w:hAnsi="Calibri"/>
          <w:i/>
          <w:iCs/>
          <w:color w:val="555555"/>
          <w:sz w:val="19"/>
          <w:szCs w:val="19"/>
        </w:rPr>
        <w:t xml:space="preserve">Table 3. Inferential results for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Test / quantity</w:t>
            </w:r>
          </w:p>
        </w:tc>
        <w:tc>
          <w:tcPr>
            <w:tcW w:type="dxa" w:w="48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Result</w:t>
            </w:r>
          </w:p>
        </w:tc>
      </w:tr>
      <w:tr>
        <w:trPr>
          <w:cantSplit/>
        </w:trPr>
        <w:tc>
          <w:tcPr>
            <w:tcW w:type="dxa" w:w="4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Levene (Brown–Forsythe) test</w:t>
            </w:r>
          </w:p>
        </w:tc>
        <w:tc>
          <w:tcPr>
            <w:tcW w:type="dxa" w:w="4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W = 2.43, p = 0.120</w:t>
            </w:r>
          </w:p>
        </w:tc>
      </w:tr>
      <w:tr>
        <w:trPr>
          <w:cantSplit/>
        </w:trPr>
        <w:tc>
          <w:tcPr>
            <w:tcW w:type="dxa" w:w="4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Welch t-test</w:t>
            </w:r>
          </w:p>
        </w:tc>
        <w:tc>
          <w:tcPr>
            <w:tcW w:type="dxa" w:w="4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t(200.9) = 0.65, p = 0.514</w:t>
            </w:r>
          </w:p>
        </w:tc>
      </w:tr>
      <w:tr>
        <w:trPr>
          <w:cantSplit/>
        </w:trPr>
        <w:tc>
          <w:tcPr>
            <w:tcW w:type="dxa" w:w="4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Mean difference (Lunch − Dinner)</w:t>
            </w:r>
          </w:p>
        </w:tc>
        <w:tc>
          <w:tcPr>
            <w:tcW w:type="dxa" w:w="4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0.46 pp, 95% CI [-0.93, 1.85]</w:t>
            </w:r>
          </w:p>
        </w:tc>
      </w:tr>
      <w:tr>
        <w:trPr>
          <w:cantSplit/>
        </w:trPr>
        <w:tc>
          <w:tcPr>
            <w:tcW w:type="dxa" w:w="4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Bootstrap 95% CI of difference</w:t>
            </w:r>
          </w:p>
        </w:tc>
        <w:tc>
          <w:tcPr>
            <w:tcW w:type="dxa" w:w="4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[-0.94, 1.81]</w:t>
            </w:r>
          </w:p>
        </w:tc>
      </w:tr>
      <w:tr>
        <w:trPr>
          <w:cantSplit/>
        </w:trPr>
        <w:tc>
          <w:tcPr>
            <w:tcW w:type="dxa" w:w="4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Cohen’s d</w:t>
            </w:r>
          </w:p>
        </w:tc>
        <w:tc>
          <w:tcPr>
            <w:tcW w:type="dxa" w:w="4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0.075 (negligible)</w:t>
            </w:r>
          </w:p>
        </w:tc>
      </w:tr>
      <w:tr>
        <w:trPr>
          <w:cantSplit/>
        </w:trPr>
        <w:tc>
          <w:tcPr>
            <w:tcW w:type="dxa" w:w="4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Mann–Whitney U</w:t>
            </w:r>
          </w:p>
        </w:tc>
        <w:tc>
          <w:tcPr>
            <w:tcW w:type="dxa" w:w="4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U = 6577.5, p = 0.230</w:t>
            </w:r>
          </w:p>
        </w:tc>
      </w:tr>
      <w:tr>
        <w:trPr>
          <w:cantSplit/>
        </w:trPr>
        <w:tc>
          <w:tcPr>
            <w:tcW w:type="dxa" w:w="4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Power at observed d / minimum detectable d (80% power)</w:t>
            </w:r>
          </w:p>
        </w:tc>
        <w:tc>
          <w:tcPr>
            <w:tcW w:type="dxa" w:w="4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0.08 / 0.40</w:t>
            </w:r>
          </w:p>
        </w:tc>
      </w:tr>
      <w:tr>
        <w:trPr>
          <w:cantSplit/>
        </w:trPr>
        <w:tc>
          <w:tcPr>
            <w:tcW w:type="dxa" w:w="4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TOST equivalence, bounds ± 2 pp</w:t>
            </w:r>
          </w:p>
        </w:tc>
        <w:tc>
          <w:tcPr>
            <w:tcW w:type="dxa" w:w="4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p = 0.015</w:t>
            </w:r>
          </w:p>
        </w:tc>
      </w:tr>
    </w:tbl>
    <w:p>
      <w:pPr>
        <w:keepNext/>
        <w:spacing w:after="40" w:before="100"/>
        <w:jc w:val="center"/>
      </w:pPr>
      <w:r>
        <w:drawing>
          <wp:inline distT="0" distB="0" distL="0" distR="0">
            <wp:extent cx="5943600" cy="1828800"/>
            <wp:effectExtent t="0" r="0" b="0" l="0"/>
            <wp:docPr id="1" name="fig2_h1_time.png" descr="fig2_h1_time.png" title="fig2_h1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828800"/>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2. Tip % by meal time: box plots, density curves and bootstrap distribution of the mean difference</w:t>
      </w:r>
    </w:p>
    <w:p>
      <w:pPr>
        <w:pStyle w:val="Heading3"/>
      </w:pPr>
      <w:r>
        <w:rPr>
          <w:rFonts w:ascii="Calibri" w:cs="Calibri" w:eastAsia="Calibri" w:hAnsi="Calibri"/>
        </w:rPr>
        <w:t xml:space="preserve">Interpretation</w:t>
      </w:r>
    </w:p>
    <w:p>
      <w:pPr>
        <w:spacing w:after="140" w:line="300"/>
      </w:pPr>
      <w:r>
        <w:rPr>
          <w:rFonts w:ascii="Calibri" w:cs="Calibri" w:eastAsia="Calibri" w:hAnsi="Calibri"/>
          <w:sz w:val="22"/>
          <w:szCs w:val="22"/>
        </w:rPr>
        <w:t xml:space="preserve">The p-value (0.514) is well above 0.05, so we </w:t>
      </w:r>
      <w:r>
        <w:rPr>
          <w:rFonts w:ascii="Calibri" w:cs="Calibri" w:eastAsia="Calibri" w:hAnsi="Calibri"/>
          <w:b/>
          <w:bCs/>
          <w:sz w:val="22"/>
          <w:szCs w:val="22"/>
        </w:rPr>
        <w:t xml:space="preserve">fail to reject H₀</w:t>
      </w:r>
      <w:r>
        <w:rPr>
          <w:rFonts w:ascii="Calibri" w:cs="Calibri" w:eastAsia="Calibri" w:hAnsi="Calibri"/>
          <w:sz w:val="22"/>
          <w:szCs w:val="22"/>
        </w:rPr>
        <w:t xml:space="preserve">. Lunch parties tipped 0.46 percentage points more on average, but the 95% CI [-0.93, 1.85] comfortably includes zero, and the bootstrap interval and Mann–Whitney test agree. Dinner tip % is clearly non-normal (Shapiro p &lt; 0.001) because of outliers, yet with n = 176 the t-test is robust to this and the rank-based test reaches the same conclusion.</w:t>
      </w:r>
    </w:p>
    <w:p>
      <w:pPr>
        <w:spacing w:after="140" w:line="300"/>
      </w:pPr>
      <w:r>
        <w:rPr>
          <w:rFonts w:ascii="Calibri" w:cs="Calibri" w:eastAsia="Calibri" w:hAnsi="Calibri"/>
          <w:sz w:val="22"/>
          <w:szCs w:val="22"/>
        </w:rPr>
        <w:t xml:space="preserve">A non-significant p-value alone is not evidence of no difference. This sample could reliably (80% power) detect only d ≈ 0.40, roughly 2.4 percentage points, so smaller effects cannot be ruled out by the t-test. The TOST equivalence test addresses this directly: against a ± 2 pp margin (a difference too small to matter to a restaurant), equivalence is supported (p = 0.015). That margin is a judgement call, and the outlier sensitivity check in Section 6 shows the result is somewhat dependent on a few extreme tips.</w:t>
      </w:r>
    </w:p>
    <w:p>
      <w:pPr>
        <w:pStyle w:val="Heading2"/>
      </w:pPr>
      <w:r>
        <w:rPr>
          <w:rFonts w:ascii="Calibri" w:cs="Calibri" w:eastAsia="Calibri" w:hAnsi="Calibri"/>
        </w:rPr>
        <w:t xml:space="preserve">5.2 H2: Does tip percentage differ across days of the week?</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anova_m = smf.ols("tip_pct ~ C(day)", df).fit()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anova_t = sm.stats.anova_lm(anova_m, typ=2)</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eta2 = anova_t.loc["C(day)","sum_sq"] / anova_t["sum_sq"].sum()</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groups = [g.tip_pct.values for _, g in df.groupby("day", observed=True)]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stats.levene(*groups, center="median")        # homogeneity of variance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stats.shapiro(anova_m.resid)                  # residual normality</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stats.kruskal(*groups)                        # non-parametric check</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pairwise_tukeyhsd(df.tip_pct, df.day.astype(str), alpha=.05)  # post-hoc</w:t>
      </w:r>
    </w:p>
    <w:p>
      <w:pPr>
        <w:spacing w:after="120"/>
      </w:pPr>
    </w:p>
    <w:p>
      <w:pPr>
        <w:keepNext/>
        <w:spacing w:after="80" w:before="160"/>
        <w:jc w:val="center"/>
      </w:pPr>
      <w:r>
        <w:rPr>
          <w:rFonts w:ascii="Calibri" w:cs="Calibri" w:eastAsia="Calibri" w:hAnsi="Calibri"/>
          <w:i/>
          <w:iCs/>
          <w:color w:val="555555"/>
          <w:sz w:val="19"/>
          <w:szCs w:val="19"/>
        </w:rPr>
        <w:t xml:space="preserve">Table 4. Tip percentage by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500"/>
        <w:gridCol w:w="1900"/>
        <w:gridCol w:w="1800"/>
        <w:gridCol w:w="1800"/>
      </w:tblGrid>
      <w:tr>
        <w:trPr>
          <w:tblHeader/>
        </w:trPr>
        <w:tc>
          <w:tcPr>
            <w:tcW w:type="dxa" w:w="23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Day</w:t>
            </w:r>
          </w:p>
        </w:tc>
        <w:tc>
          <w:tcPr>
            <w:tcW w:type="dxa" w:w="15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n</w:t>
            </w:r>
          </w:p>
        </w:tc>
        <w:tc>
          <w:tcPr>
            <w:tcW w:type="dxa" w:w="19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Mean tip %</w:t>
            </w:r>
          </w:p>
        </w:tc>
        <w:tc>
          <w:tcPr>
            <w:tcW w:type="dxa" w:w="18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Std. dev.</w:t>
            </w:r>
          </w:p>
        </w:tc>
        <w:tc>
          <w:tcPr>
            <w:tcW w:type="dxa" w:w="18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Median</w:t>
            </w:r>
          </w:p>
        </w:tc>
      </w:tr>
      <w:tr>
        <w:trPr>
          <w:cantSplit/>
        </w:trPr>
        <w:tc>
          <w:tcPr>
            <w:tcW w:type="dxa" w:w="2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Thur</w:t>
            </w:r>
          </w:p>
        </w:tc>
        <w:tc>
          <w:tcPr>
            <w:tcW w:type="dxa" w:w="15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62</w:t>
            </w:r>
          </w:p>
        </w:tc>
        <w:tc>
          <w:tcPr>
            <w:tcW w:type="dxa" w:w="1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16.13</w:t>
            </w:r>
          </w:p>
        </w:tc>
        <w:tc>
          <w:tcPr>
            <w:tcW w:type="dxa" w:w="1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3.87</w:t>
            </w:r>
          </w:p>
        </w:tc>
        <w:tc>
          <w:tcPr>
            <w:tcW w:type="dxa" w:w="1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15.38</w:t>
            </w:r>
          </w:p>
        </w:tc>
      </w:tr>
      <w:tr>
        <w:trPr>
          <w:cantSplit/>
        </w:trPr>
        <w:tc>
          <w:tcPr>
            <w:tcW w:type="dxa" w:w="23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Fri</w:t>
            </w:r>
          </w:p>
        </w:tc>
        <w:tc>
          <w:tcPr>
            <w:tcW w:type="dxa" w:w="15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19</w:t>
            </w:r>
          </w:p>
        </w:tc>
        <w:tc>
          <w:tcPr>
            <w:tcW w:type="dxa" w:w="19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16.99</w:t>
            </w:r>
          </w:p>
        </w:tc>
        <w:tc>
          <w:tcPr>
            <w:tcW w:type="dxa" w:w="1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4.77</w:t>
            </w:r>
          </w:p>
        </w:tc>
        <w:tc>
          <w:tcPr>
            <w:tcW w:type="dxa" w:w="1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15.56</w:t>
            </w:r>
          </w:p>
        </w:tc>
      </w:tr>
      <w:tr>
        <w:trPr>
          <w:cantSplit/>
        </w:trPr>
        <w:tc>
          <w:tcPr>
            <w:tcW w:type="dxa" w:w="2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Sat</w:t>
            </w:r>
          </w:p>
        </w:tc>
        <w:tc>
          <w:tcPr>
            <w:tcW w:type="dxa" w:w="15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87</w:t>
            </w:r>
          </w:p>
        </w:tc>
        <w:tc>
          <w:tcPr>
            <w:tcW w:type="dxa" w:w="1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15.31</w:t>
            </w:r>
          </w:p>
        </w:tc>
        <w:tc>
          <w:tcPr>
            <w:tcW w:type="dxa" w:w="1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5.13</w:t>
            </w:r>
          </w:p>
        </w:tc>
        <w:tc>
          <w:tcPr>
            <w:tcW w:type="dxa" w:w="1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15.18</w:t>
            </w:r>
          </w:p>
        </w:tc>
      </w:tr>
      <w:tr>
        <w:trPr>
          <w:cantSplit/>
        </w:trPr>
        <w:tc>
          <w:tcPr>
            <w:tcW w:type="dxa" w:w="23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Sun</w:t>
            </w:r>
          </w:p>
        </w:tc>
        <w:tc>
          <w:tcPr>
            <w:tcW w:type="dxa" w:w="15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76</w:t>
            </w:r>
          </w:p>
        </w:tc>
        <w:tc>
          <w:tcPr>
            <w:tcW w:type="dxa" w:w="19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16.69</w:t>
            </w:r>
          </w:p>
        </w:tc>
        <w:tc>
          <w:tcPr>
            <w:tcW w:type="dxa" w:w="1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8.47</w:t>
            </w:r>
          </w:p>
        </w:tc>
        <w:tc>
          <w:tcPr>
            <w:tcW w:type="dxa" w:w="1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16.11</w:t>
            </w:r>
          </w:p>
        </w:tc>
      </w:tr>
    </w:tbl>
    <w:p>
      <w:pPr>
        <w:keepNext/>
        <w:spacing w:after="80" w:before="160"/>
        <w:jc w:val="center"/>
      </w:pPr>
      <w:r>
        <w:rPr>
          <w:rFonts w:ascii="Calibri" w:cs="Calibri" w:eastAsia="Calibri" w:hAnsi="Calibri"/>
          <w:i/>
          <w:iCs/>
          <w:color w:val="555555"/>
          <w:sz w:val="19"/>
          <w:szCs w:val="19"/>
        </w:rPr>
        <w:t xml:space="preserve">Table 5. ANOVA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Test / quantity</w:t>
            </w:r>
          </w:p>
        </w:tc>
        <w:tc>
          <w:tcPr>
            <w:tcW w:type="dxa" w:w="48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Result</w:t>
            </w:r>
          </w:p>
        </w:tc>
      </w:tr>
      <w:tr>
        <w:trPr>
          <w:cantSplit/>
        </w:trPr>
        <w:tc>
          <w:tcPr>
            <w:tcW w:type="dxa" w:w="4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Levene test (equal variances)</w:t>
            </w:r>
          </w:p>
        </w:tc>
        <w:tc>
          <w:tcPr>
            <w:tcW w:type="dxa" w:w="4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W = 1.69, p = 0.170</w:t>
            </w:r>
          </w:p>
        </w:tc>
      </w:tr>
      <w:tr>
        <w:trPr>
          <w:cantSplit/>
        </w:trPr>
        <w:tc>
          <w:tcPr>
            <w:tcW w:type="dxa" w:w="4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Shapiro–Wilk on residuals</w:t>
            </w:r>
          </w:p>
        </w:tc>
        <w:tc>
          <w:tcPr>
            <w:tcW w:type="dxa" w:w="4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W = 0.803, p &lt; 0.001</w:t>
            </w:r>
          </w:p>
        </w:tc>
      </w:tr>
      <w:tr>
        <w:trPr>
          <w:cantSplit/>
        </w:trPr>
        <w:tc>
          <w:tcPr>
            <w:tcW w:type="dxa" w:w="4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One-way ANOVA</w:t>
            </w:r>
          </w:p>
        </w:tc>
        <w:tc>
          <w:tcPr>
            <w:tcW w:type="dxa" w:w="4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F(3, 240) = 0.85, p = 0.469</w:t>
            </w:r>
          </w:p>
        </w:tc>
      </w:tr>
      <w:tr>
        <w:trPr>
          <w:cantSplit/>
        </w:trPr>
        <w:tc>
          <w:tcPr>
            <w:tcW w:type="dxa" w:w="4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Effect size η²</w:t>
            </w:r>
          </w:p>
        </w:tc>
        <w:tc>
          <w:tcPr>
            <w:tcW w:type="dxa" w:w="4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0.010 (about 1% of variance)</w:t>
            </w:r>
          </w:p>
        </w:tc>
      </w:tr>
      <w:tr>
        <w:trPr>
          <w:cantSplit/>
        </w:trPr>
        <w:tc>
          <w:tcPr>
            <w:tcW w:type="dxa" w:w="4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Kruskal–Wallis</w:t>
            </w:r>
          </w:p>
        </w:tc>
        <w:tc>
          <w:tcPr>
            <w:tcW w:type="dxa" w:w="4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H = 1.84, p = 0.607</w:t>
            </w:r>
          </w:p>
        </w:tc>
      </w:tr>
      <w:tr>
        <w:trPr>
          <w:cantSplit/>
        </w:trPr>
        <w:tc>
          <w:tcPr>
            <w:tcW w:type="dxa" w:w="4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Tukey HSD, smallest adjusted p</w:t>
            </w:r>
          </w:p>
        </w:tc>
        <w:tc>
          <w:tcPr>
            <w:tcW w:type="dxa" w:w="4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0.481 (all six pairs non-significant)</w:t>
            </w:r>
          </w:p>
        </w:tc>
      </w:tr>
    </w:tbl>
    <w:p>
      <w:pPr>
        <w:keepNext/>
        <w:spacing w:after="80" w:before="160"/>
        <w:jc w:val="center"/>
      </w:pPr>
      <w:r>
        <w:rPr>
          <w:rFonts w:ascii="Calibri" w:cs="Calibri" w:eastAsia="Calibri" w:hAnsi="Calibri"/>
          <w:i/>
          <w:iCs/>
          <w:color w:val="555555"/>
          <w:sz w:val="19"/>
          <w:szCs w:val="19"/>
        </w:rPr>
        <w:t xml:space="preserve">Table 6. Tukey HSD post-hoc comparisons (reported for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200"/>
        <w:gridCol w:w="3000"/>
        <w:gridCol w:w="1800"/>
      </w:tblGrid>
      <w:tr>
        <w:trPr>
          <w:tblHeader/>
        </w:trPr>
        <w:tc>
          <w:tcPr>
            <w:tcW w:type="dxa" w:w="23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Pair</w:t>
            </w:r>
          </w:p>
        </w:tc>
        <w:tc>
          <w:tcPr>
            <w:tcW w:type="dxa" w:w="22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Mean diff (pp)</w:t>
            </w:r>
          </w:p>
        </w:tc>
        <w:tc>
          <w:tcPr>
            <w:tcW w:type="dxa" w:w="30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95% CI</w:t>
            </w:r>
          </w:p>
        </w:tc>
        <w:tc>
          <w:tcPr>
            <w:tcW w:type="dxa" w:w="18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Adj. p</w:t>
            </w:r>
          </w:p>
        </w:tc>
      </w:tr>
      <w:tr>
        <w:trPr>
          <w:cantSplit/>
        </w:trPr>
        <w:tc>
          <w:tcPr>
            <w:tcW w:type="dxa" w:w="2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Fri − Sat</w:t>
            </w:r>
          </w:p>
        </w:tc>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-1.68</w:t>
            </w:r>
          </w:p>
        </w:tc>
        <w:tc>
          <w:tcPr>
            <w:tcW w:type="dxa" w:w="3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[-5.68, 2.33]</w:t>
            </w:r>
          </w:p>
        </w:tc>
        <w:tc>
          <w:tcPr>
            <w:tcW w:type="dxa" w:w="1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0.700</w:t>
            </w:r>
          </w:p>
        </w:tc>
      </w:tr>
      <w:tr>
        <w:trPr>
          <w:cantSplit/>
        </w:trPr>
        <w:tc>
          <w:tcPr>
            <w:tcW w:type="dxa" w:w="23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Fri − Sun</w:t>
            </w:r>
          </w:p>
        </w:tc>
        <w:tc>
          <w:tcPr>
            <w:tcW w:type="dxa" w:w="2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-0.30</w:t>
            </w:r>
          </w:p>
        </w:tc>
        <w:tc>
          <w:tcPr>
            <w:tcW w:type="dxa" w:w="3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[-4.36, 3.75]</w:t>
            </w:r>
          </w:p>
        </w:tc>
        <w:tc>
          <w:tcPr>
            <w:tcW w:type="dxa" w:w="1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0.998</w:t>
            </w:r>
          </w:p>
        </w:tc>
      </w:tr>
      <w:tr>
        <w:trPr>
          <w:cantSplit/>
        </w:trPr>
        <w:tc>
          <w:tcPr>
            <w:tcW w:type="dxa" w:w="2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Fri − Thur</w:t>
            </w:r>
          </w:p>
        </w:tc>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-0.86</w:t>
            </w:r>
          </w:p>
        </w:tc>
        <w:tc>
          <w:tcPr>
            <w:tcW w:type="dxa" w:w="3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[-5.01, 3.28]</w:t>
            </w:r>
          </w:p>
        </w:tc>
        <w:tc>
          <w:tcPr>
            <w:tcW w:type="dxa" w:w="1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0.949</w:t>
            </w:r>
          </w:p>
        </w:tc>
      </w:tr>
      <w:tr>
        <w:trPr>
          <w:cantSplit/>
        </w:trPr>
        <w:tc>
          <w:tcPr>
            <w:tcW w:type="dxa" w:w="23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Sat − Sun</w:t>
            </w:r>
          </w:p>
        </w:tc>
        <w:tc>
          <w:tcPr>
            <w:tcW w:type="dxa" w:w="2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1.37</w:t>
            </w:r>
          </w:p>
        </w:tc>
        <w:tc>
          <w:tcPr>
            <w:tcW w:type="dxa" w:w="3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[-1.11, 3.86]</w:t>
            </w:r>
          </w:p>
        </w:tc>
        <w:tc>
          <w:tcPr>
            <w:tcW w:type="dxa" w:w="1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0.481</w:t>
            </w:r>
          </w:p>
        </w:tc>
      </w:tr>
      <w:tr>
        <w:trPr>
          <w:cantSplit/>
        </w:trPr>
        <w:tc>
          <w:tcPr>
            <w:tcW w:type="dxa" w:w="2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Sat − Thur</w:t>
            </w:r>
          </w:p>
        </w:tc>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0.81</w:t>
            </w:r>
          </w:p>
        </w:tc>
        <w:tc>
          <w:tcPr>
            <w:tcW w:type="dxa" w:w="3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[-1.82, 3.44]</w:t>
            </w:r>
          </w:p>
        </w:tc>
        <w:tc>
          <w:tcPr>
            <w:tcW w:type="dxa" w:w="1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0.855</w:t>
            </w:r>
          </w:p>
        </w:tc>
      </w:tr>
      <w:tr>
        <w:trPr>
          <w:cantSplit/>
        </w:trPr>
        <w:tc>
          <w:tcPr>
            <w:tcW w:type="dxa" w:w="23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Sun − Thur</w:t>
            </w:r>
          </w:p>
        </w:tc>
        <w:tc>
          <w:tcPr>
            <w:tcW w:type="dxa" w:w="2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-0.56</w:t>
            </w:r>
          </w:p>
        </w:tc>
        <w:tc>
          <w:tcPr>
            <w:tcW w:type="dxa" w:w="3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[-3.27, 2.14]</w:t>
            </w:r>
          </w:p>
        </w:tc>
        <w:tc>
          <w:tcPr>
            <w:tcW w:type="dxa" w:w="1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0.950</w:t>
            </w:r>
          </w:p>
        </w:tc>
      </w:tr>
    </w:tbl>
    <w:p>
      <w:pPr>
        <w:keepNext/>
        <w:spacing w:after="40" w:before="100"/>
        <w:jc w:val="center"/>
      </w:pPr>
      <w:r>
        <w:drawing>
          <wp:inline distT="0" distB="0" distL="0" distR="0">
            <wp:extent cx="5943600" cy="1828800"/>
            <wp:effectExtent t="0" r="0" b="0" l="0"/>
            <wp:docPr id="1" name="fig3_h2_day.png" descr="fig3_h2_day.png" title="fig3_h2_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28800"/>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3. Tip % by day, group means with 95% CIs and residual Q-Q plot</w:t>
      </w:r>
    </w:p>
    <w:p>
      <w:pPr>
        <w:pStyle w:val="Heading3"/>
      </w:pPr>
      <w:r>
        <w:rPr>
          <w:rFonts w:ascii="Calibri" w:cs="Calibri" w:eastAsia="Calibri" w:hAnsi="Calibri"/>
        </w:rPr>
        <w:t xml:space="preserve">Interpretation</w:t>
      </w:r>
    </w:p>
    <w:p>
      <w:pPr>
        <w:spacing w:after="140" w:line="300"/>
      </w:pPr>
      <w:r>
        <w:rPr>
          <w:rFonts w:ascii="Calibri" w:cs="Calibri" w:eastAsia="Calibri" w:hAnsi="Calibri"/>
          <w:sz w:val="22"/>
          <w:szCs w:val="22"/>
        </w:rPr>
        <w:t xml:space="preserve">The omnibus ANOVA is not significant (F = 0.85, p = 0.469), so we </w:t>
      </w:r>
      <w:r>
        <w:rPr>
          <w:rFonts w:ascii="Calibri" w:cs="Calibri" w:eastAsia="Calibri" w:hAnsi="Calibri"/>
          <w:b/>
          <w:bCs/>
          <w:sz w:val="22"/>
          <w:szCs w:val="22"/>
        </w:rPr>
        <w:t xml:space="preserve">fail to reject H₀</w:t>
      </w:r>
      <w:r>
        <w:rPr>
          <w:rFonts w:ascii="Calibri" w:cs="Calibri" w:eastAsia="Calibri" w:hAnsi="Calibri"/>
          <w:sz w:val="22"/>
          <w:szCs w:val="22"/>
        </w:rPr>
        <w:t xml:space="preserve">: there is no evidence that mean tip % varies by day. Day explains only 1.0% of the variance. The Kruskal–Wallis test (p = 0.607) agrees, which matters because residuals depart from normality (Q-Q plot shows heavy upper tail). Variances are statistically homogeneous (Levene p = 0.170), although Sunday is visibly more dispersed (SD 8.5 vs 3.9 on Thursday), driven by the extreme tips. Tukey comparisons were run for completeness; as expected after a non-significant omnibus test, no pair differs. Friday has only 19 parties so its interval is wide.</w:t>
      </w:r>
    </w:p>
    <w:p>
      <w:pPr>
        <w:pStyle w:val="Heading2"/>
      </w:pPr>
      <w:r>
        <w:rPr>
          <w:rFonts w:ascii="Calibri" w:cs="Calibri" w:eastAsia="Calibri" w:hAnsi="Calibri"/>
        </w:rPr>
        <w:t xml:space="preserve">5.3 H3: Is generous tipping (≥ 15%) associated with meal time?</w:t>
      </w:r>
    </w:p>
    <w:p>
      <w:pPr>
        <w:spacing w:after="140" w:line="300"/>
      </w:pPr>
      <w:r>
        <w:rPr>
          <w:rFonts w:ascii="Calibri" w:cs="Calibri" w:eastAsia="Calibri" w:hAnsi="Calibri"/>
          <w:sz w:val="22"/>
          <w:szCs w:val="22"/>
        </w:rPr>
        <w:t xml:space="preserve">To complement the mean-based tests, tip percentage was dichotomised at the conventional 15% benchmark and the association with meal time tested with a Pearson chi-square test of independence. This is robust to the outliers that affect the means.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ct = pd.crosstab(df.time, df.generous)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chi2, p, dof, expected = stats.chi2_contingency(ct, correction=False)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cramers_v = np.sqrt(chi2 / (ct.values.sum() * (min(ct.shape) - 1)))</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stats.chi2_contingency(ct, correction=True)   # Yates continuity correction</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stats.fisher_exact(ct.values)                 # exact test check</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expected.min()                                # assumption: all expected counts &gt;= 5</w:t>
      </w:r>
    </w:p>
    <w:p>
      <w:pPr>
        <w:spacing w:after="120"/>
      </w:pPr>
    </w:p>
    <w:p>
      <w:pPr>
        <w:keepNext/>
        <w:spacing w:after="80" w:before="160"/>
        <w:jc w:val="center"/>
      </w:pPr>
      <w:r>
        <w:rPr>
          <w:rFonts w:ascii="Calibri" w:cs="Calibri" w:eastAsia="Calibri" w:hAnsi="Calibri"/>
          <w:i/>
          <w:iCs/>
          <w:color w:val="555555"/>
          <w:sz w:val="19"/>
          <w:szCs w:val="19"/>
        </w:rPr>
        <w:t xml:space="preserve">Table 7. Contingency table: meal time by generous tipping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2000"/>
        <w:gridCol w:w="2260"/>
      </w:tblGrid>
      <w:tr>
        <w:trPr>
          <w:tblHeader/>
        </w:trPr>
        <w:tc>
          <w:tcPr>
            <w:tcW w:type="dxa" w:w="18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Meal time</w:t>
            </w:r>
          </w:p>
        </w:tc>
        <w:tc>
          <w:tcPr>
            <w:tcW w:type="dxa" w:w="18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Below 15%</w:t>
            </w:r>
          </w:p>
        </w:tc>
        <w:tc>
          <w:tcPr>
            <w:tcW w:type="dxa" w:w="15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 15%</w:t>
            </w:r>
          </w:p>
        </w:tc>
        <w:tc>
          <w:tcPr>
            <w:tcW w:type="dxa" w:w="20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 generous</w:t>
            </w:r>
          </w:p>
        </w:tc>
        <w:tc>
          <w:tcPr>
            <w:tcW w:type="dxa" w:w="22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95% Wilson CI</w:t>
            </w:r>
          </w:p>
        </w:tc>
      </w:tr>
      <w:tr>
        <w:trPr>
          <w:cantSplit/>
        </w:trPr>
        <w:tc>
          <w:tcPr>
            <w:tcW w:type="dxa" w:w="1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Dinner</w:t>
            </w:r>
          </w:p>
        </w:tc>
        <w:tc>
          <w:tcPr>
            <w:tcW w:type="dxa" w:w="1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80</w:t>
            </w:r>
          </w:p>
        </w:tc>
        <w:tc>
          <w:tcPr>
            <w:tcW w:type="dxa" w:w="15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96</w:t>
            </w:r>
          </w:p>
        </w:tc>
        <w:tc>
          <w:tcPr>
            <w:tcW w:type="dxa" w:w="2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54.5%</w:t>
            </w:r>
          </w:p>
        </w:tc>
        <w:tc>
          <w:tcPr>
            <w:tcW w:type="dxa" w:w="22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[47.2, 61.7]</w:t>
            </w:r>
          </w:p>
        </w:tc>
      </w:tr>
      <w:tr>
        <w:trPr>
          <w:cantSplit/>
        </w:trPr>
        <w:tc>
          <w:tcPr>
            <w:tcW w:type="dxa" w:w="1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Lunch</w:t>
            </w:r>
          </w:p>
        </w:tc>
        <w:tc>
          <w:tcPr>
            <w:tcW w:type="dxa" w:w="1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28</w:t>
            </w:r>
          </w:p>
        </w:tc>
        <w:tc>
          <w:tcPr>
            <w:tcW w:type="dxa" w:w="15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40</w:t>
            </w:r>
          </w:p>
        </w:tc>
        <w:tc>
          <w:tcPr>
            <w:tcW w:type="dxa" w:w="2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58.8%</w:t>
            </w:r>
          </w:p>
        </w:tc>
        <w:tc>
          <w:tcPr>
            <w:tcW w:type="dxa" w:w="22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[47.0, 69.7]</w:t>
            </w:r>
          </w:p>
        </w:tc>
      </w:tr>
    </w:tbl>
    <w:p>
      <w:pPr>
        <w:keepNext/>
        <w:spacing w:after="80" w:before="160"/>
        <w:jc w:val="center"/>
      </w:pPr>
      <w:r>
        <w:rPr>
          <w:rFonts w:ascii="Calibri" w:cs="Calibri" w:eastAsia="Calibri" w:hAnsi="Calibri"/>
          <w:i/>
          <w:iCs/>
          <w:color w:val="555555"/>
          <w:sz w:val="19"/>
          <w:szCs w:val="19"/>
        </w:rPr>
        <w:t xml:space="preserve">Table 8. Chi-square results for H3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Test / quantity</w:t>
            </w:r>
          </w:p>
        </w:tc>
        <w:tc>
          <w:tcPr>
            <w:tcW w:type="dxa" w:w="48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Result</w:t>
            </w:r>
          </w:p>
        </w:tc>
      </w:tr>
      <w:tr>
        <w:trPr>
          <w:cantSplit/>
        </w:trPr>
        <w:tc>
          <w:tcPr>
            <w:tcW w:type="dxa" w:w="4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Pearson chi-square</w:t>
            </w:r>
          </w:p>
        </w:tc>
        <w:tc>
          <w:tcPr>
            <w:tcW w:type="dxa" w:w="4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χ²(1) = 0.364, p = 0.546</w:t>
            </w:r>
          </w:p>
        </w:tc>
      </w:tr>
      <w:tr>
        <w:trPr>
          <w:cantSplit/>
        </w:trPr>
        <w:tc>
          <w:tcPr>
            <w:tcW w:type="dxa" w:w="4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Yates-corrected chi-square</w:t>
            </w:r>
          </w:p>
        </w:tc>
        <w:tc>
          <w:tcPr>
            <w:tcW w:type="dxa" w:w="4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χ² = 0.211, p = 0.646</w:t>
            </w:r>
          </w:p>
        </w:tc>
      </w:tr>
      <w:tr>
        <w:trPr>
          <w:cantSplit/>
        </w:trPr>
        <w:tc>
          <w:tcPr>
            <w:tcW w:type="dxa" w:w="4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Fisher’s exact test</w:t>
            </w:r>
          </w:p>
        </w:tc>
        <w:tc>
          <w:tcPr>
            <w:tcW w:type="dxa" w:w="4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p = 0.568, odds ratio = 1.19</w:t>
            </w:r>
          </w:p>
        </w:tc>
      </w:tr>
      <w:tr>
        <w:trPr>
          <w:cantSplit/>
        </w:trPr>
        <w:tc>
          <w:tcPr>
            <w:tcW w:type="dxa" w:w="4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Cramér’s V</w:t>
            </w:r>
          </w:p>
        </w:tc>
        <w:tc>
          <w:tcPr>
            <w:tcW w:type="dxa" w:w="4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0.039 (negligible)</w:t>
            </w:r>
          </w:p>
        </w:tc>
      </w:tr>
      <w:tr>
        <w:trPr>
          <w:cantSplit/>
        </w:trPr>
        <w:tc>
          <w:tcPr>
            <w:tcW w:type="dxa" w:w="4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Smallest expected cell count</w:t>
            </w:r>
          </w:p>
        </w:tc>
        <w:tc>
          <w:tcPr>
            <w:tcW w:type="dxa" w:w="4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30.1 (assumption of ≥ 5 satisfied)</w:t>
            </w:r>
          </w:p>
        </w:tc>
      </w:tr>
    </w:tbl>
    <w:p>
      <w:pPr>
        <w:keepNext/>
        <w:spacing w:after="40" w:before="100"/>
        <w:jc w:val="center"/>
      </w:pPr>
      <w:r>
        <w:drawing>
          <wp:inline distT="0" distB="0" distL="0" distR="0">
            <wp:extent cx="5305425" cy="1933575"/>
            <wp:effectExtent t="0" r="0" b="0" l="0"/>
            <wp:docPr id="1" name="fig4_h3_chi2.png" descr="fig4_h3_chi2.png" title="fig4_h3_ch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1933575"/>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4. Share of parties tipping at least 15%, by meal time and by smoking section</w:t>
      </w:r>
    </w:p>
    <w:p>
      <w:pPr>
        <w:pStyle w:val="Heading3"/>
      </w:pPr>
      <w:r>
        <w:rPr>
          <w:rFonts w:ascii="Calibri" w:cs="Calibri" w:eastAsia="Calibri" w:hAnsi="Calibri"/>
        </w:rPr>
        <w:t xml:space="preserve">Interpretation</w:t>
      </w:r>
    </w:p>
    <w:p>
      <w:pPr>
        <w:spacing w:after="140" w:line="300"/>
      </w:pPr>
      <w:r>
        <w:rPr>
          <w:rFonts w:ascii="Calibri" w:cs="Calibri" w:eastAsia="Calibri" w:hAnsi="Calibri"/>
          <w:sz w:val="22"/>
          <w:szCs w:val="22"/>
        </w:rPr>
        <w:t xml:space="preserve">About 58.8% of lunch and 54.5% of dinner parties tipped at least 15%. The difference is not statistically significant (χ² = 0.364, p = 0.546), and the Yates and Fisher versions agree, so we </w:t>
      </w:r>
      <w:r>
        <w:rPr>
          <w:rFonts w:ascii="Calibri" w:cs="Calibri" w:eastAsia="Calibri" w:hAnsi="Calibri"/>
          <w:b/>
          <w:bCs/>
          <w:sz w:val="22"/>
          <w:szCs w:val="22"/>
        </w:rPr>
        <w:t xml:space="preserve">fail to reject H₀</w:t>
      </w:r>
      <w:r>
        <w:rPr>
          <w:rFonts w:ascii="Calibri" w:cs="Calibri" w:eastAsia="Calibri" w:hAnsi="Calibri"/>
          <w:sz w:val="22"/>
          <w:szCs w:val="22"/>
        </w:rPr>
        <w:t xml:space="preserve">. Cramér’s V of 0.039 indicates practically no association. As exploratory follow-ups using the same method, generosity was also unrelated to smoking section (p = 0.965), payer’s sex (p = 0.225) or day (p = 0.923); these were not part of the four primary hypotheses and are not corrected for multiplicity.</w:t>
      </w:r>
    </w:p>
    <w:p>
      <w:pPr>
        <w:pStyle w:val="Heading2"/>
      </w:pPr>
      <w:r>
        <w:rPr>
          <w:rFonts w:ascii="Calibri" w:cs="Calibri" w:eastAsia="Calibri" w:hAnsi="Calibri"/>
        </w:rPr>
        <w:t xml:space="preserve">5.4 H4: Is tip amount related to the size of the bill?</w:t>
      </w:r>
    </w:p>
    <w:p>
      <w:pPr>
        <w:spacing w:after="140" w:line="300"/>
      </w:pPr>
      <w:r>
        <w:rPr>
          <w:rFonts w:ascii="Calibri" w:cs="Calibri" w:eastAsia="Calibri" w:hAnsi="Calibri"/>
          <w:sz w:val="22"/>
          <w:szCs w:val="22"/>
        </w:rPr>
        <w:t xml:space="preserve">Correlation was used to test whether tip and bill are linearly related, and OLS regression to quantify the relationship. Because the regression residuals were found to be heteroscedastic, heteroscedasticity-robust (HC3) confidence intervals are reported alongside the classical ones.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pear  = stats.pearsonr(df.total_bill, df.tip)</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spear = stats.spearmanr(df.total_bill, df.tip)</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stats.pearsonr(df.total_bill, df.tip_pct)           # tip % vs bill</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ols    = smf.ols("tip ~ total_bill", df).fit()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ols_rb = smf.ols("tip ~ total_bill", df).fit(cov_type="HC3")   # robust SEs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sm.stats.het_breuschpagan(ols.resid, ols.model.exog)</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multi = smf.ols("tip ~ total_bill + size + C(time) + C(smoker) + C(sex)",</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df).fit(cov_type="HC3")</w:t>
      </w:r>
    </w:p>
    <w:p>
      <w:pPr>
        <w:spacing w:after="120"/>
      </w:pPr>
    </w:p>
    <w:p>
      <w:pPr>
        <w:keepNext/>
        <w:spacing w:after="80" w:before="160"/>
        <w:jc w:val="center"/>
      </w:pPr>
      <w:r>
        <w:rPr>
          <w:rFonts w:ascii="Calibri" w:cs="Calibri" w:eastAsia="Calibri" w:hAnsi="Calibri"/>
          <w:i/>
          <w:iCs/>
          <w:color w:val="555555"/>
          <w:sz w:val="19"/>
          <w:szCs w:val="19"/>
        </w:rPr>
        <w:t xml:space="preserve">Table 9. Correlation and simple regression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rPr>
          <w:tblHeader/>
        </w:trPr>
        <w:tc>
          <w:tcPr>
            <w:tcW w:type="dxa" w:w="41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Test / quantity</w:t>
            </w:r>
          </w:p>
        </w:tc>
        <w:tc>
          <w:tcPr>
            <w:tcW w:type="dxa" w:w="52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Result</w:t>
            </w:r>
          </w:p>
        </w:tc>
      </w:tr>
      <w:tr>
        <w:trPr>
          <w:cantSplit/>
        </w:trPr>
        <w:tc>
          <w:tcPr>
            <w:tcW w:type="dxa" w:w="41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Pearson r (tip vs bill)</w:t>
            </w:r>
          </w:p>
        </w:tc>
        <w:tc>
          <w:tcPr>
            <w:tcW w:type="dxa" w:w="5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r = 0.676, 95% CI [0.601, 0.739], p &lt; 0.001</w:t>
            </w:r>
          </w:p>
        </w:tc>
      </w:tr>
      <w:tr>
        <w:trPr>
          <w:cantSplit/>
        </w:trPr>
        <w:tc>
          <w:tcPr>
            <w:tcW w:type="dxa" w:w="41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Spearman ρ</w:t>
            </w:r>
          </w:p>
        </w:tc>
        <w:tc>
          <w:tcPr>
            <w:tcW w:type="dxa" w:w="5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ρ = 0.679, p &lt; 0.001</w:t>
            </w:r>
          </w:p>
        </w:tc>
      </w:tr>
      <w:tr>
        <w:trPr>
          <w:cantSplit/>
        </w:trPr>
        <w:tc>
          <w:tcPr>
            <w:tcW w:type="dxa" w:w="41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Simple OLS slope</w:t>
            </w:r>
          </w:p>
        </w:tc>
        <w:tc>
          <w:tcPr>
            <w:tcW w:type="dxa" w:w="5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$0.105 per $1 of bill, 95% CI [0.091, 0.120]</w:t>
            </w:r>
          </w:p>
        </w:tc>
      </w:tr>
      <w:tr>
        <w:trPr>
          <w:cantSplit/>
        </w:trPr>
        <w:tc>
          <w:tcPr>
            <w:tcW w:type="dxa" w:w="41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Robust (HC3) slope CI</w:t>
            </w:r>
          </w:p>
        </w:tc>
        <w:tc>
          <w:tcPr>
            <w:tcW w:type="dxa" w:w="5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[0.081, 0.129]</w:t>
            </w:r>
          </w:p>
        </w:tc>
      </w:tr>
      <w:tr>
        <w:trPr>
          <w:cantSplit/>
        </w:trPr>
        <w:tc>
          <w:tcPr>
            <w:tcW w:type="dxa" w:w="41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Intercept</w:t>
            </w:r>
          </w:p>
        </w:tc>
        <w:tc>
          <w:tcPr>
            <w:tcW w:type="dxa" w:w="5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$0.92</w:t>
            </w:r>
          </w:p>
        </w:tc>
      </w:tr>
      <w:tr>
        <w:trPr>
          <w:cantSplit/>
        </w:trPr>
        <w:tc>
          <w:tcPr>
            <w:tcW w:type="dxa" w:w="41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R²</w:t>
            </w:r>
          </w:p>
        </w:tc>
        <w:tc>
          <w:tcPr>
            <w:tcW w:type="dxa" w:w="5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0.457</w:t>
            </w:r>
          </w:p>
        </w:tc>
      </w:tr>
      <w:tr>
        <w:trPr>
          <w:cantSplit/>
        </w:trPr>
        <w:tc>
          <w:tcPr>
            <w:tcW w:type="dxa" w:w="41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Breusch–Pagan test</w:t>
            </w:r>
          </w:p>
        </w:tc>
        <w:tc>
          <w:tcPr>
            <w:tcW w:type="dxa" w:w="5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LM = 47.9, p &lt; 0.001 (heteroscedastic)</w:t>
            </w:r>
          </w:p>
        </w:tc>
      </w:tr>
      <w:tr>
        <w:trPr>
          <w:cantSplit/>
        </w:trPr>
        <w:tc>
          <w:tcPr>
            <w:tcW w:type="dxa" w:w="41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Tip % vs bill: Pearson r / Spearman ρ</w:t>
            </w:r>
          </w:p>
        </w:tc>
        <w:tc>
          <w:tcPr>
            <w:tcW w:type="dxa" w:w="5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-0.339 / -0.321, both p &lt; 0.001</w:t>
            </w:r>
          </w:p>
        </w:tc>
      </w:tr>
    </w:tbl>
    <w:p>
      <w:pPr>
        <w:keepNext/>
        <w:spacing w:after="40" w:before="100"/>
        <w:jc w:val="center"/>
      </w:pPr>
      <w:r>
        <w:drawing>
          <wp:inline distT="0" distB="0" distL="0" distR="0">
            <wp:extent cx="5943600" cy="1828800"/>
            <wp:effectExtent t="0" r="0" b="0" l="0"/>
            <wp:docPr id="1" name="fig5_h4_regression.png" descr="fig5_h4_regression.png" title="fig5_h4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828800"/>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5. Tip vs bill with fitted line, tip % vs bill (LOWESS) and residuals vs fitted values</w:t>
      </w:r>
    </w:p>
    <w:p>
      <w:pPr>
        <w:keepNext/>
        <w:spacing w:after="80" w:before="160"/>
        <w:jc w:val="center"/>
      </w:pPr>
      <w:r>
        <w:rPr>
          <w:rFonts w:ascii="Calibri" w:cs="Calibri" w:eastAsia="Calibri" w:hAnsi="Calibri"/>
          <w:i/>
          <w:iCs/>
          <w:color w:val="555555"/>
          <w:sz w:val="19"/>
          <w:szCs w:val="19"/>
        </w:rPr>
        <w:t xml:space="preserve">Table 10. Multiple regression of tip ($) with HC3 standard errors (R² = 0.469, adjusted R² = 0.458)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300"/>
        <w:gridCol w:w="2260"/>
        <w:gridCol w:w="1400"/>
      </w:tblGrid>
      <w:tr>
        <w:trPr>
          <w:tblHeader/>
        </w:trPr>
        <w:tc>
          <w:tcPr>
            <w:tcW w:type="dxa" w:w="29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Predictor</w:t>
            </w:r>
          </w:p>
        </w:tc>
        <w:tc>
          <w:tcPr>
            <w:tcW w:type="dxa" w:w="15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Coefficient ($)</w:t>
            </w:r>
          </w:p>
        </w:tc>
        <w:tc>
          <w:tcPr>
            <w:tcW w:type="dxa" w:w="13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Robust SE</w:t>
            </w:r>
          </w:p>
        </w:tc>
        <w:tc>
          <w:tcPr>
            <w:tcW w:type="dxa" w:w="22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95% CI</w:t>
            </w:r>
          </w:p>
        </w:tc>
        <w:tc>
          <w:tcPr>
            <w:tcW w:type="dxa" w:w="14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p</w:t>
            </w:r>
          </w:p>
        </w:tc>
      </w:tr>
      <w:tr>
        <w:trPr>
          <w:cantSplit/>
        </w:trPr>
        <w:tc>
          <w:tcPr>
            <w:tcW w:type="dxa" w:w="2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Intercept</w:t>
            </w:r>
          </w:p>
        </w:tc>
        <w:tc>
          <w:tcPr>
            <w:tcW w:type="dxa" w:w="15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0.725</w:t>
            </w:r>
          </w:p>
        </w:tc>
        <w:tc>
          <w:tcPr>
            <w:tcW w:type="dxa" w:w="13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0.252</w:t>
            </w:r>
          </w:p>
        </w:tc>
        <w:tc>
          <w:tcPr>
            <w:tcW w:type="dxa" w:w="22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[0.23, 1.22]</w:t>
            </w:r>
          </w:p>
        </w:tc>
        <w:tc>
          <w:tcPr>
            <w:tcW w:type="dxa" w:w="1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0.004</w:t>
            </w:r>
          </w:p>
        </w:tc>
      </w:tr>
      <w:tr>
        <w:trPr>
          <w:cantSplit/>
        </w:trPr>
        <w:tc>
          <w:tcPr>
            <w:tcW w:type="dxa" w:w="29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Total bill ($)</w:t>
            </w:r>
          </w:p>
        </w:tc>
        <w:tc>
          <w:tcPr>
            <w:tcW w:type="dxa" w:w="15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0.094</w:t>
            </w:r>
          </w:p>
        </w:tc>
        <w:tc>
          <w:tcPr>
            <w:tcW w:type="dxa" w:w="13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0.017</w:t>
            </w:r>
          </w:p>
        </w:tc>
        <w:tc>
          <w:tcPr>
            <w:tcW w:type="dxa" w:w="22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[0.06, 0.13]</w:t>
            </w:r>
          </w:p>
        </w:tc>
        <w:tc>
          <w:tcPr>
            <w:tcW w:type="dxa" w:w="1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&lt; 0.001</w:t>
            </w:r>
          </w:p>
        </w:tc>
      </w:tr>
      <w:tr>
        <w:trPr>
          <w:cantSplit/>
        </w:trPr>
        <w:tc>
          <w:tcPr>
            <w:tcW w:type="dxa" w:w="2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Party size</w:t>
            </w:r>
          </w:p>
        </w:tc>
        <w:tc>
          <w:tcPr>
            <w:tcW w:type="dxa" w:w="15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0.180</w:t>
            </w:r>
          </w:p>
        </w:tc>
        <w:tc>
          <w:tcPr>
            <w:tcW w:type="dxa" w:w="13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0.117</w:t>
            </w:r>
          </w:p>
        </w:tc>
        <w:tc>
          <w:tcPr>
            <w:tcW w:type="dxa" w:w="22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[-0.05, 0.41]</w:t>
            </w:r>
          </w:p>
        </w:tc>
        <w:tc>
          <w:tcPr>
            <w:tcW w:type="dxa" w:w="1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0.124</w:t>
            </w:r>
          </w:p>
        </w:tc>
      </w:tr>
      <w:tr>
        <w:trPr>
          <w:cantSplit/>
        </w:trPr>
        <w:tc>
          <w:tcPr>
            <w:tcW w:type="dxa" w:w="29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Lunch (vs dinner)</w:t>
            </w:r>
          </w:p>
        </w:tc>
        <w:tc>
          <w:tcPr>
            <w:tcW w:type="dxa" w:w="15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-0.005</w:t>
            </w:r>
          </w:p>
        </w:tc>
        <w:tc>
          <w:tcPr>
            <w:tcW w:type="dxa" w:w="13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0.123</w:t>
            </w:r>
          </w:p>
        </w:tc>
        <w:tc>
          <w:tcPr>
            <w:tcW w:type="dxa" w:w="22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[-0.25, 0.24]</w:t>
            </w:r>
          </w:p>
        </w:tc>
        <w:tc>
          <w:tcPr>
            <w:tcW w:type="dxa" w:w="1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0.968</w:t>
            </w:r>
          </w:p>
        </w:tc>
      </w:tr>
      <w:tr>
        <w:trPr>
          <w:cantSplit/>
        </w:trPr>
        <w:tc>
          <w:tcPr>
            <w:tcW w:type="dxa" w:w="2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Smoker (vs non-smoker)</w:t>
            </w:r>
          </w:p>
        </w:tc>
        <w:tc>
          <w:tcPr>
            <w:tcW w:type="dxa" w:w="15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-0.084</w:t>
            </w:r>
          </w:p>
        </w:tc>
        <w:tc>
          <w:tcPr>
            <w:tcW w:type="dxa" w:w="13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0.151</w:t>
            </w:r>
          </w:p>
        </w:tc>
        <w:tc>
          <w:tcPr>
            <w:tcW w:type="dxa" w:w="22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[-0.38, 0.21]</w:t>
            </w:r>
          </w:p>
        </w:tc>
        <w:tc>
          <w:tcPr>
            <w:tcW w:type="dxa" w:w="1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0.578</w:t>
            </w:r>
          </w:p>
        </w:tc>
      </w:tr>
      <w:tr>
        <w:trPr>
          <w:cantSplit/>
        </w:trPr>
        <w:tc>
          <w:tcPr>
            <w:tcW w:type="dxa" w:w="29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Male payer (vs female)</w:t>
            </w:r>
          </w:p>
        </w:tc>
        <w:tc>
          <w:tcPr>
            <w:tcW w:type="dxa" w:w="15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-0.028</w:t>
            </w:r>
          </w:p>
        </w:tc>
        <w:tc>
          <w:tcPr>
            <w:tcW w:type="dxa" w:w="13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0.130</w:t>
            </w:r>
          </w:p>
        </w:tc>
        <w:tc>
          <w:tcPr>
            <w:tcW w:type="dxa" w:w="22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[-0.28, 0.23]</w:t>
            </w:r>
          </w:p>
        </w:tc>
        <w:tc>
          <w:tcPr>
            <w:tcW w:type="dxa" w:w="1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0.829</w:t>
            </w:r>
          </w:p>
        </w:tc>
      </w:tr>
    </w:tbl>
    <w:p>
      <w:pPr>
        <w:pStyle w:val="Heading3"/>
      </w:pPr>
      <w:r>
        <w:rPr>
          <w:rFonts w:ascii="Calibri" w:cs="Calibri" w:eastAsia="Calibri" w:hAnsi="Calibri"/>
        </w:rPr>
        <w:t xml:space="preserve">Interpretation</w:t>
      </w:r>
    </w:p>
    <w:p>
      <w:pPr>
        <w:spacing w:after="140" w:line="300"/>
      </w:pPr>
      <w:r>
        <w:rPr>
          <w:rFonts w:ascii="Calibri" w:cs="Calibri" w:eastAsia="Calibri" w:hAnsi="Calibri"/>
          <w:sz w:val="22"/>
          <w:szCs w:val="22"/>
        </w:rPr>
        <w:t xml:space="preserve">The tip–bill correlation is strong and positive (r = 0.68, p &lt; 0.001), so we </w:t>
      </w:r>
      <w:r>
        <w:rPr>
          <w:rFonts w:ascii="Calibri" w:cs="Calibri" w:eastAsia="Calibri" w:hAnsi="Calibri"/>
          <w:b/>
          <w:bCs/>
          <w:sz w:val="22"/>
          <w:szCs w:val="22"/>
        </w:rPr>
        <w:t xml:space="preserve">reject H₀</w:t>
      </w:r>
      <w:r>
        <w:rPr>
          <w:rFonts w:ascii="Calibri" w:cs="Calibri" w:eastAsia="Calibri" w:hAnsi="Calibri"/>
          <w:sz w:val="22"/>
          <w:szCs w:val="22"/>
        </w:rPr>
        <w:t xml:space="preserve">. Each additional $1 on the bill is associated with about 10.5 cents more in tips, and bill size alone explains 45.7% of tip variance. The slope’s CI is stable whether classical or robust errors are used, so the heteroscedasticity detected by the Breusch–Pagan test (the spread of tips grows with the bill, visible in the residual plot) does not threaten the conclusion.</w:t>
      </w:r>
    </w:p>
    <w:p>
      <w:pPr>
        <w:spacing w:after="140" w:line="300"/>
      </w:pPr>
      <w:r>
        <w:rPr>
          <w:rFonts w:ascii="Calibri" w:cs="Calibri" w:eastAsia="Calibri" w:hAnsi="Calibri"/>
          <w:sz w:val="22"/>
          <w:szCs w:val="22"/>
        </w:rPr>
        <w:t xml:space="preserve">The relationship is not proportional. A positive intercept (about $0.92) combined with a slope near 10 cents per dollar means small bills receive proportionally larger tips, so tip % falls as the bill grows (r = -0.34, p &lt; 0.001; LOWESS curve in Figure 5, middle). In the multiple regression, total bill is the only significant predictor (p &lt; 0.001) once party size, meal time, smoking section and sex are accounted for; the others have CIs spanning zero, consistent with H1–H3. Party size is not significant once bill is controlled for (p = 0.124), probably because the two are strongly correlated.</w:t>
      </w:r>
    </w:p>
    <w:p>
      <w:pPr>
        <w:keepNext/>
        <w:spacing w:after="40" w:before="100"/>
        <w:jc w:val="center"/>
      </w:pPr>
      <w:r>
        <w:drawing>
          <wp:inline distT="0" distB="0" distL="0" distR="0">
            <wp:extent cx="3476625" cy="2809875"/>
            <wp:effectExtent t="0" r="0" b="0" l="0"/>
            <wp:docPr id="1" name="fig6_corr.png" descr="fig6_corr.png" title="fig6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76625" cy="2809875"/>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6. Spearman correlation matrix of the numeric variables</w:t>
      </w:r>
    </w:p>
    <w:p>
      <w:pPr>
        <w:pStyle w:val="Heading1"/>
      </w:pPr>
      <w:r>
        <w:rPr>
          <w:rFonts w:ascii="Calibri" w:cs="Calibri" w:eastAsia="Calibri" w:hAnsi="Calibri"/>
        </w:rPr>
        <w:t xml:space="preserve">6. Robustness, Multiplicity and Sensitivity Checks</w:t>
      </w:r>
    </w:p>
    <w:p>
      <w:pPr>
        <w:pStyle w:val="Heading2"/>
      </w:pPr>
      <w:r>
        <w:rPr>
          <w:rFonts w:ascii="Calibri" w:cs="Calibri" w:eastAsia="Calibri" w:hAnsi="Calibri"/>
        </w:rPr>
        <w:t xml:space="preserve">6.1 Multiple-testing correction</w:t>
      </w:r>
    </w:p>
    <w:p>
      <w:pPr>
        <w:spacing w:after="140" w:line="300"/>
      </w:pPr>
      <w:r>
        <w:rPr>
          <w:rFonts w:ascii="Calibri" w:cs="Calibri" w:eastAsia="Calibri" w:hAnsi="Calibri"/>
          <w:sz w:val="22"/>
          <w:szCs w:val="22"/>
        </w:rPr>
        <w:t xml:space="preserve">Testing four hypotheses inflates the chance of a false positive. Holm–Bonferroni adjustment was applied to the four primary p-values.</w:t>
      </w:r>
    </w:p>
    <w:p>
      <w:pPr>
        <w:keepNext/>
        <w:spacing w:after="80" w:before="160"/>
        <w:jc w:val="center"/>
      </w:pPr>
      <w:r>
        <w:rPr>
          <w:rFonts w:ascii="Calibri" w:cs="Calibri" w:eastAsia="Calibri" w:hAnsi="Calibri"/>
          <w:i/>
          <w:iCs/>
          <w:color w:val="555555"/>
          <w:sz w:val="19"/>
          <w:szCs w:val="19"/>
        </w:rPr>
        <w:t xml:space="preserve">Table 11. Holm correction across the four primary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500"/>
        <w:gridCol w:w="2100"/>
        <w:gridCol w:w="2200"/>
      </w:tblGrid>
      <w:tr>
        <w:trPr>
          <w:tblHeader/>
        </w:trPr>
        <w:tc>
          <w:tcPr>
            <w:tcW w:type="dxa" w:w="35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Hypothesis</w:t>
            </w:r>
          </w:p>
        </w:tc>
        <w:tc>
          <w:tcPr>
            <w:tcW w:type="dxa" w:w="15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Raw p</w:t>
            </w:r>
          </w:p>
        </w:tc>
        <w:tc>
          <w:tcPr>
            <w:tcW w:type="dxa" w:w="21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Holm-adjusted p</w:t>
            </w:r>
          </w:p>
        </w:tc>
        <w:tc>
          <w:tcPr>
            <w:tcW w:type="dxa" w:w="22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Decision at α = 0.05</w:t>
            </w:r>
          </w:p>
        </w:tc>
      </w:tr>
      <w:tr>
        <w:trPr>
          <w:cantSplit/>
        </w:trPr>
        <w:tc>
          <w:tcPr>
            <w:tcW w:type="dxa" w:w="3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H1 Welch t-test (time)</w:t>
            </w:r>
          </w:p>
        </w:tc>
        <w:tc>
          <w:tcPr>
            <w:tcW w:type="dxa" w:w="15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0.514</w:t>
            </w:r>
          </w:p>
        </w:tc>
        <w:tc>
          <w:tcPr>
            <w:tcW w:type="dxa" w:w="21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1.000</w:t>
            </w:r>
          </w:p>
        </w:tc>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Retain H₀</w:t>
            </w:r>
          </w:p>
        </w:tc>
      </w:tr>
      <w:tr>
        <w:trPr>
          <w:cantSplit/>
        </w:trPr>
        <w:tc>
          <w:tcPr>
            <w:tcW w:type="dxa" w:w="3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H2 ANOVA (day)</w:t>
            </w:r>
          </w:p>
        </w:tc>
        <w:tc>
          <w:tcPr>
            <w:tcW w:type="dxa" w:w="15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0.469</w:t>
            </w:r>
          </w:p>
        </w:tc>
        <w:tc>
          <w:tcPr>
            <w:tcW w:type="dxa" w:w="21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1.000</w:t>
            </w:r>
          </w:p>
        </w:tc>
        <w:tc>
          <w:tcPr>
            <w:tcW w:type="dxa" w:w="2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Retain H₀</w:t>
            </w:r>
          </w:p>
        </w:tc>
      </w:tr>
      <w:tr>
        <w:trPr>
          <w:cantSplit/>
        </w:trPr>
        <w:tc>
          <w:tcPr>
            <w:tcW w:type="dxa" w:w="3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H3 chi-square (time)</w:t>
            </w:r>
          </w:p>
        </w:tc>
        <w:tc>
          <w:tcPr>
            <w:tcW w:type="dxa" w:w="15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0.546</w:t>
            </w:r>
          </w:p>
        </w:tc>
        <w:tc>
          <w:tcPr>
            <w:tcW w:type="dxa" w:w="21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1.000</w:t>
            </w:r>
          </w:p>
        </w:tc>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Retain H₀</w:t>
            </w:r>
          </w:p>
        </w:tc>
      </w:tr>
      <w:tr>
        <w:trPr>
          <w:cantSplit/>
        </w:trPr>
        <w:tc>
          <w:tcPr>
            <w:tcW w:type="dxa" w:w="3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H4 Pearson (bill~tip)</w:t>
            </w:r>
          </w:p>
        </w:tc>
        <w:tc>
          <w:tcPr>
            <w:tcW w:type="dxa" w:w="15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&lt; 0.001</w:t>
            </w:r>
          </w:p>
        </w:tc>
        <w:tc>
          <w:tcPr>
            <w:tcW w:type="dxa" w:w="21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&lt; 0.001</w:t>
            </w:r>
          </w:p>
        </w:tc>
        <w:tc>
          <w:tcPr>
            <w:tcW w:type="dxa" w:w="2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Reject H₀</w:t>
            </w:r>
          </w:p>
        </w:tc>
      </w:tr>
    </w:tbl>
    <w:p>
      <w:pPr>
        <w:spacing w:after="140" w:line="300"/>
      </w:pPr>
      <w:r>
        <w:rPr>
          <w:rFonts w:ascii="Calibri" w:cs="Calibri" w:eastAsia="Calibri" w:hAnsi="Calibri"/>
          <w:sz w:val="22"/>
          <w:szCs w:val="22"/>
        </w:rPr>
        <w:t xml:space="preserve">The correction does not change any decision: the three nulls stay retained and H4 remains overwhelmingly significant.</w:t>
      </w:r>
    </w:p>
    <w:p>
      <w:pPr>
        <w:pStyle w:val="Heading2"/>
      </w:pPr>
      <w:r>
        <w:rPr>
          <w:rFonts w:ascii="Calibri" w:cs="Calibri" w:eastAsia="Calibri" w:hAnsi="Calibri"/>
        </w:rPr>
        <w:t xml:space="preserve">6.2 Outlier sensitivity</w:t>
      </w:r>
    </w:p>
    <w:p>
      <w:pPr>
        <w:spacing w:after="140" w:line="300"/>
      </w:pPr>
      <w:r>
        <w:rPr>
          <w:rFonts w:ascii="Calibri" w:cs="Calibri" w:eastAsia="Calibri" w:hAnsi="Calibri"/>
          <w:sz w:val="22"/>
          <w:szCs w:val="22"/>
        </w:rPr>
        <w:t xml:space="preserve">Tukey’s 1.5 × IQR rule flags 4 observations (tip % of 32.6%, 71.0%, 41.7%, 29.2%; upper fence 28.5%). The tests were rerun without them:</w:t>
      </w:r>
    </w:p>
    <w:p>
      <w:pPr>
        <w:keepNext/>
        <w:spacing w:after="80" w:before="160"/>
        <w:jc w:val="center"/>
      </w:pPr>
      <w:r>
        <w:rPr>
          <w:rFonts w:ascii="Calibri" w:cs="Calibri" w:eastAsia="Calibri" w:hAnsi="Calibri"/>
          <w:i/>
          <w:iCs/>
          <w:color w:val="555555"/>
          <w:sz w:val="19"/>
          <w:szCs w:val="19"/>
        </w:rPr>
        <w:t xml:space="preserve">Table 12. Sensitivity of results to extreme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rPr>
          <w:tblHeader/>
        </w:trPr>
        <w:tc>
          <w:tcPr>
            <w:tcW w:type="dxa" w:w="35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Test</w:t>
            </w:r>
          </w:p>
        </w:tc>
        <w:tc>
          <w:tcPr>
            <w:tcW w:type="dxa" w:w="29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Full data</w:t>
            </w:r>
          </w:p>
        </w:tc>
        <w:tc>
          <w:tcPr>
            <w:tcW w:type="dxa" w:w="29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Excluding outliers</w:t>
            </w:r>
          </w:p>
        </w:tc>
      </w:tr>
      <w:tr>
        <w:trPr>
          <w:cantSplit/>
        </w:trPr>
        <w:tc>
          <w:tcPr>
            <w:tcW w:type="dxa" w:w="3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H1 Welch t-test (Lunch − Dinner)</w:t>
            </w:r>
          </w:p>
        </w:tc>
        <w:tc>
          <w:tcPr>
            <w:tcW w:type="dxa" w:w="2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diff = 0.46 pp, p = 0.514</w:t>
            </w:r>
          </w:p>
        </w:tc>
        <w:tc>
          <w:tcPr>
            <w:tcW w:type="dxa" w:w="2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diff = 1.10 pp, p = 0.070</w:t>
            </w:r>
          </w:p>
        </w:tc>
      </w:tr>
      <w:tr>
        <w:trPr>
          <w:cantSplit/>
        </w:trPr>
        <w:tc>
          <w:tcPr>
            <w:tcW w:type="dxa" w:w="3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H2 one-way ANOVA</w:t>
            </w:r>
          </w:p>
        </w:tc>
        <w:tc>
          <w:tcPr>
            <w:tcW w:type="dxa" w:w="29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F = 0.85, p = 0.469</w:t>
            </w:r>
          </w:p>
        </w:tc>
        <w:tc>
          <w:tcPr>
            <w:tcW w:type="dxa" w:w="29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F = 1.47, p = 0.222</w:t>
            </w:r>
          </w:p>
        </w:tc>
      </w:tr>
      <w:tr>
        <w:trPr>
          <w:cantSplit/>
        </w:trPr>
        <w:tc>
          <w:tcPr>
            <w:tcW w:type="dxa" w:w="3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H4 tip % vs bill (Pearson)</w:t>
            </w:r>
          </w:p>
        </w:tc>
        <w:tc>
          <w:tcPr>
            <w:tcW w:type="dxa" w:w="2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r = -0.339, p &lt; 0.001</w:t>
            </w:r>
          </w:p>
        </w:tc>
        <w:tc>
          <w:tcPr>
            <w:tcW w:type="dxa" w:w="2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r = -0.327, p &lt; 0.001</w:t>
            </w:r>
          </w:p>
        </w:tc>
      </w:tr>
    </w:tbl>
    <w:p>
      <w:pPr>
        <w:spacing w:after="140" w:line="300"/>
      </w:pPr>
      <w:r>
        <w:rPr>
          <w:rFonts w:ascii="Calibri" w:cs="Calibri" w:eastAsia="Calibri" w:hAnsi="Calibri"/>
          <w:sz w:val="22"/>
          <w:szCs w:val="22"/>
        </w:rPr>
        <w:t xml:space="preserve">Conclusions for H2 and H4 are unchanged. For H1, removing the extremes shrinks the variance and moves the p-value to 0.070, close to the threshold, with lunch about 1.1 pp higher. This does not overturn the result at α = 0.05, but it signals that a small lunch advantage cannot be excluded and should be revisited with more data.</w:t>
      </w:r>
    </w:p>
    <w:p>
      <w:pPr>
        <w:pStyle w:val="Heading1"/>
      </w:pPr>
      <w:r>
        <w:rPr>
          <w:rFonts w:ascii="Calibri" w:cs="Calibri" w:eastAsia="Calibri" w:hAnsi="Calibri"/>
        </w:rPr>
        <w:t xml:space="preserve">7. Conclusions and Implications</w:t>
      </w:r>
    </w:p>
    <w:p>
      <w:pPr>
        <w:pStyle w:val="Heading2"/>
      </w:pPr>
      <w:r>
        <w:rPr>
          <w:rFonts w:ascii="Calibri" w:cs="Calibri" w:eastAsia="Calibri" w:hAnsi="Calibri"/>
        </w:rPr>
        <w:t xml:space="preserve">7.1 Verdict on each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Hypothesis</w:t>
            </w:r>
          </w:p>
        </w:tc>
        <w:tc>
          <w:tcPr>
            <w:tcW w:type="dxa" w:w="18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Outcome</w:t>
            </w:r>
          </w:p>
        </w:tc>
        <w:tc>
          <w:tcPr>
            <w:tcW w:type="dxa" w:w="45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Key evidence</w:t>
            </w:r>
          </w:p>
        </w:tc>
      </w:tr>
      <w:tr>
        <w:trPr>
          <w:cantSplit/>
        </w:trPr>
        <w:tc>
          <w:tcPr>
            <w:tcW w:type="dxa" w:w="3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H1: lunch vs dinner tip %</w:t>
            </w:r>
          </w:p>
        </w:tc>
        <w:tc>
          <w:tcPr>
            <w:tcW w:type="dxa" w:w="1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Not supported</w:t>
            </w:r>
          </w:p>
        </w:tc>
        <w:tc>
          <w:tcPr>
            <w:tcW w:type="dxa" w:w="4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p = 0.514, d = 0.08, CI for diff [-0.93, 1.85]</w:t>
            </w:r>
          </w:p>
        </w:tc>
      </w:tr>
      <w:tr>
        <w:trPr>
          <w:cantSplit/>
        </w:trPr>
        <w:tc>
          <w:tcPr>
            <w:tcW w:type="dxa" w:w="3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H2: tip % varies by day</w:t>
            </w:r>
          </w:p>
        </w:tc>
        <w:tc>
          <w:tcPr>
            <w:tcW w:type="dxa" w:w="1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Not supported</w:t>
            </w:r>
          </w:p>
        </w:tc>
        <w:tc>
          <w:tcPr>
            <w:tcW w:type="dxa" w:w="4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p = 0.469, η² = 0.010</w:t>
            </w:r>
          </w:p>
        </w:tc>
      </w:tr>
      <w:tr>
        <w:trPr>
          <w:cantSplit/>
        </w:trPr>
        <w:tc>
          <w:tcPr>
            <w:tcW w:type="dxa" w:w="3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H3: generosity linked to meal time</w:t>
            </w:r>
          </w:p>
        </w:tc>
        <w:tc>
          <w:tcPr>
            <w:tcW w:type="dxa" w:w="1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Not supported</w:t>
            </w:r>
          </w:p>
        </w:tc>
        <w:tc>
          <w:tcPr>
            <w:tcW w:type="dxa" w:w="45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p = 0.546, V = 0.039</w:t>
            </w:r>
          </w:p>
        </w:tc>
      </w:tr>
      <w:tr>
        <w:trPr>
          <w:cantSplit/>
        </w:trPr>
        <w:tc>
          <w:tcPr>
            <w:tcW w:type="dxa" w:w="3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H4: tip related to bill size</w:t>
            </w:r>
          </w:p>
        </w:tc>
        <w:tc>
          <w:tcPr>
            <w:tcW w:type="dxa" w:w="1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Supported</w:t>
            </w:r>
          </w:p>
        </w:tc>
        <w:tc>
          <w:tcPr>
            <w:tcW w:type="dxa" w:w="45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r = 0.68, p &lt; 0.001, R² = 0.46</w:t>
            </w:r>
          </w:p>
        </w:tc>
      </w:tr>
    </w:tbl>
    <w:p>
      <w:pPr>
        <w:spacing w:after="120"/>
      </w:pPr>
    </w:p>
    <w:p>
      <w:pPr>
        <w:pStyle w:val="Heading2"/>
      </w:pPr>
      <w:r>
        <w:rPr>
          <w:rFonts w:ascii="Calibri" w:cs="Calibri" w:eastAsia="Calibri" w:hAnsi="Calibri"/>
        </w:rPr>
        <w:t xml:space="preserve">7.2 Business implications</w:t>
      </w:r>
    </w:p>
    <w:p>
      <w:pPr>
        <w:pStyle w:val="ListParagraph"/>
        <w:numPr>
          <w:ilvl w:val="0"/>
          <w:numId w:val="2"/>
        </w:numPr>
        <w:spacing w:after="80" w:line="290"/>
      </w:pPr>
      <w:r>
        <w:rPr>
          <w:rFonts w:ascii="Calibri" w:cs="Calibri" w:eastAsia="Calibri" w:hAnsi="Calibri"/>
          <w:sz w:val="22"/>
          <w:szCs w:val="22"/>
        </w:rPr>
        <w:t xml:space="preserve">Tips behave as an almost fixed fraction of the bill, around 15–16% on average, regardless of shift, weekday or section. Scheduling or incentive plans built on the assumption that dinner or weekend servers earn a higher tipping rate are not supported by this data.</w:t>
      </w:r>
    </w:p>
    <w:p>
      <w:pPr>
        <w:pStyle w:val="ListParagraph"/>
        <w:numPr>
          <w:ilvl w:val="0"/>
          <w:numId w:val="2"/>
        </w:numPr>
        <w:spacing w:after="80" w:line="290"/>
      </w:pPr>
      <w:r>
        <w:rPr>
          <w:rFonts w:ascii="Calibri" w:cs="Calibri" w:eastAsia="Calibri" w:hAnsi="Calibri"/>
          <w:sz w:val="22"/>
          <w:szCs w:val="22"/>
        </w:rPr>
        <w:t xml:space="preserve">Tip income is driven by revenue per table. Strategies that raise average check size (menu design, upselling, table turnover) will raise tip income more reliably than strategies targeting a particular segment.</w:t>
      </w:r>
    </w:p>
    <w:p>
      <w:pPr>
        <w:pStyle w:val="ListParagraph"/>
        <w:numPr>
          <w:ilvl w:val="0"/>
          <w:numId w:val="2"/>
        </w:numPr>
        <w:spacing w:after="80" w:line="290"/>
      </w:pPr>
      <w:r>
        <w:rPr>
          <w:rFonts w:ascii="Calibri" w:cs="Calibri" w:eastAsia="Calibri" w:hAnsi="Calibri"/>
          <w:sz w:val="22"/>
          <w:szCs w:val="22"/>
        </w:rPr>
        <w:t xml:space="preserve">Because tip % declines as bills grow, large-party or high-check tables should not be expected to deliver proportionally larger tips.</w:t>
      </w:r>
    </w:p>
    <w:p>
      <w:pPr>
        <w:pStyle w:val="Heading2"/>
      </w:pPr>
      <w:r>
        <w:rPr>
          <w:rFonts w:ascii="Calibri" w:cs="Calibri" w:eastAsia="Calibri" w:hAnsi="Calibri"/>
        </w:rPr>
        <w:t xml:space="preserve">7.3 Limitations</w:t>
      </w:r>
    </w:p>
    <w:p>
      <w:pPr>
        <w:pStyle w:val="ListParagraph"/>
        <w:numPr>
          <w:ilvl w:val="0"/>
          <w:numId w:val="2"/>
        </w:numPr>
        <w:spacing w:after="80" w:line="290"/>
      </w:pPr>
      <w:r>
        <w:rPr>
          <w:rFonts w:ascii="Calibri" w:cs="Calibri" w:eastAsia="Calibri" w:hAnsi="Calibri"/>
          <w:b/>
          <w:bCs/>
          <w:sz w:val="22"/>
          <w:szCs w:val="22"/>
        </w:rPr>
        <w:t xml:space="preserve">Single server, single venue, observational data. </w:t>
      </w:r>
      <w:r>
        <w:rPr>
          <w:rFonts w:ascii="Calibri" w:cs="Calibri" w:eastAsia="Calibri" w:hAnsi="Calibri"/>
          <w:sz w:val="22"/>
          <w:szCs w:val="22"/>
        </w:rPr>
        <w:t xml:space="preserve">Results describe one waiter’s experience and are not a random sample of restaurants; causal claims are not warranted.</w:t>
      </w:r>
    </w:p>
    <w:p>
      <w:pPr>
        <w:pStyle w:val="ListParagraph"/>
        <w:numPr>
          <w:ilvl w:val="0"/>
          <w:numId w:val="2"/>
        </w:numPr>
        <w:spacing w:after="80" w:line="290"/>
      </w:pPr>
      <w:r>
        <w:rPr>
          <w:rFonts w:ascii="Calibri" w:cs="Calibri" w:eastAsia="Calibri" w:hAnsi="Calibri"/>
          <w:b/>
          <w:bCs/>
          <w:sz w:val="22"/>
          <w:szCs w:val="22"/>
        </w:rPr>
        <w:t xml:space="preserve">Confounding of time and day. </w:t>
      </w:r>
      <w:r>
        <w:rPr>
          <w:rFonts w:ascii="Calibri" w:cs="Calibri" w:eastAsia="Calibri" w:hAnsi="Calibri"/>
          <w:sz w:val="22"/>
          <w:szCs w:val="22"/>
        </w:rPr>
        <w:t xml:space="preserve">Lunch occurs almost only on Thursday, so H1 and H2 partly measure the same contrast. A balanced design would be needed to separate them.</w:t>
      </w:r>
    </w:p>
    <w:p>
      <w:pPr>
        <w:pStyle w:val="ListParagraph"/>
        <w:numPr>
          <w:ilvl w:val="0"/>
          <w:numId w:val="2"/>
        </w:numPr>
        <w:spacing w:after="80" w:line="290"/>
      </w:pPr>
      <w:r>
        <w:rPr>
          <w:rFonts w:ascii="Calibri" w:cs="Calibri" w:eastAsia="Calibri" w:hAnsi="Calibri"/>
          <w:b/>
          <w:bCs/>
          <w:sz w:val="22"/>
          <w:szCs w:val="22"/>
        </w:rPr>
        <w:t xml:space="preserve">Sample size and power. </w:t>
      </w:r>
      <w:r>
        <w:rPr>
          <w:rFonts w:ascii="Calibri" w:cs="Calibri" w:eastAsia="Calibri" w:hAnsi="Calibri"/>
          <w:sz w:val="22"/>
          <w:szCs w:val="22"/>
        </w:rPr>
        <w:t xml:space="preserve">Effects smaller than about 2.4 pp cannot be reliably detected for H1, and Friday has only 19 observations.</w:t>
      </w:r>
    </w:p>
    <w:p>
      <w:pPr>
        <w:pStyle w:val="ListParagraph"/>
        <w:numPr>
          <w:ilvl w:val="0"/>
          <w:numId w:val="2"/>
        </w:numPr>
        <w:spacing w:after="80" w:line="290"/>
      </w:pPr>
      <w:r>
        <w:rPr>
          <w:rFonts w:ascii="Calibri" w:cs="Calibri" w:eastAsia="Calibri" w:hAnsi="Calibri"/>
          <w:b/>
          <w:bCs/>
          <w:sz w:val="22"/>
          <w:szCs w:val="22"/>
        </w:rPr>
        <w:t xml:space="preserve">Independence. </w:t>
      </w:r>
      <w:r>
        <w:rPr>
          <w:rFonts w:ascii="Calibri" w:cs="Calibri" w:eastAsia="Calibri" w:hAnsi="Calibri"/>
          <w:sz w:val="22"/>
          <w:szCs w:val="22"/>
        </w:rPr>
        <w:t xml:space="preserve">Repeat customers could make observations correlated; the dataset has no customer identifier to check this.</w:t>
      </w:r>
    </w:p>
    <w:p>
      <w:pPr>
        <w:pStyle w:val="ListParagraph"/>
        <w:numPr>
          <w:ilvl w:val="0"/>
          <w:numId w:val="2"/>
        </w:numPr>
        <w:spacing w:after="80" w:line="290"/>
      </w:pPr>
      <w:r>
        <w:rPr>
          <w:rFonts w:ascii="Calibri" w:cs="Calibri" w:eastAsia="Calibri" w:hAnsi="Calibri"/>
          <w:b/>
          <w:bCs/>
          <w:sz w:val="22"/>
          <w:szCs w:val="22"/>
        </w:rPr>
        <w:t xml:space="preserve">Measurement. </w:t>
      </w:r>
      <w:r>
        <w:rPr>
          <w:rFonts w:ascii="Calibri" w:cs="Calibri" w:eastAsia="Calibri" w:hAnsi="Calibri"/>
          <w:sz w:val="22"/>
          <w:szCs w:val="22"/>
        </w:rPr>
        <w:t xml:space="preserve">It is unknown whether the bill includes tax, and the data are decades old, so tipping norms may have changed.</w:t>
      </w:r>
    </w:p>
    <w:p>
      <w:pPr>
        <w:pStyle w:val="Heading2"/>
      </w:pPr>
      <w:r>
        <w:rPr>
          <w:rFonts w:ascii="Calibri" w:cs="Calibri" w:eastAsia="Calibri" w:hAnsi="Calibri"/>
        </w:rPr>
        <w:t xml:space="preserve">7.4 Future work</w:t>
      </w:r>
    </w:p>
    <w:p>
      <w:pPr>
        <w:spacing w:after="140" w:line="300"/>
      </w:pPr>
      <w:r>
        <w:rPr>
          <w:rFonts w:ascii="Calibri" w:cs="Calibri" w:eastAsia="Calibri" w:hAnsi="Calibri"/>
          <w:sz w:val="22"/>
          <w:szCs w:val="22"/>
        </w:rPr>
        <w:t xml:space="preserve">Useful extensions are a mixed-effects model with multiple servers and venues, a prospective experiment that randomises an intervention (for example, a suggested-tip prompt on the payment screen) and a Bayesian analysis to quantify evidence for no effect directly.</w:t>
      </w:r>
    </w:p>
    <w:p>
      <w:pPr>
        <w:pStyle w:val="Heading1"/>
      </w:pPr>
      <w:r>
        <w:rPr>
          <w:rFonts w:ascii="Calibri" w:cs="Calibri" w:eastAsia="Calibri" w:hAnsi="Calibri"/>
        </w:rPr>
        <w:t xml:space="preserve">Appendix A. Reproducing the Analysis</w:t>
      </w:r>
    </w:p>
    <w:p>
      <w:pPr>
        <w:spacing w:after="140" w:line="300"/>
      </w:pPr>
      <w:r>
        <w:rPr>
          <w:rFonts w:ascii="Calibri" w:cs="Calibri" w:eastAsia="Calibri" w:hAnsi="Calibri"/>
          <w:sz w:val="22"/>
          <w:szCs w:val="22"/>
        </w:rPr>
        <w:t xml:space="preserve">The complete script (analysis.py) that produces every number, table and figure in this report is supplied alongside this document. It uses a fixed random seed (42) for the bootstrap, so results are reproducible. To run it: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pip install pandas scipy statsmodels seaborn matplotlib</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curl -O https://raw.githubusercontent.com/mwaskom/seaborn-data/master/tips.csv</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python analysis.py        # writes fig1..fig6 PNGs and results.json</w:t>
      </w:r>
    </w:p>
    <w:p>
      <w:pPr>
        <w:spacing w:after="120"/>
      </w:pPr>
    </w:p>
    <w:p>
      <w:pPr>
        <w:spacing w:after="140" w:line="300"/>
      </w:pPr>
      <w:r>
        <w:rPr>
          <w:rFonts w:ascii="Calibri" w:cs="Calibri" w:eastAsia="Calibri" w:hAnsi="Calibri"/>
          <w:sz w:val="22"/>
          <w:szCs w:val="22"/>
        </w:rPr>
        <w:t xml:space="preserve">The outlier-sensitivity and equivalence checks in Section 6 use the following additional code: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from statsmodels.stats.weightstats import ttost_ind</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tost = ttost_ind(lunch, dinner, -2, 2, usevar="unequal")   # TOST, margin +/- 2 pp</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q1, q3 = df.tip_pct.quantile([.25, .75]); iqr = q3 - q1</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mask = df.tip_pct.between(q1 - 1.5*iqr, q3 + 1.5*iqr)       # Tukey fences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d2 = df[mask]                                                # 4 rows removed</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stats.ttest_ind(d2[d2.time=="Lunch"].tip_pct,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d2[d2.time=="Dinner"].tip_pct, equal_var=False)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stats.f_oneway(*[g.tip_pct for _, g in d2.groupby("day", observed=True)])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stats.pearsonr(d2.total_bill, d2.tip_pct)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from statsmodels.stats.multitest import multipletests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multipletests([p_h1, p_h2, p_h3, p_h4], method="holm")      # Section 6.1</w:t>
      </w:r>
    </w:p>
    <w:p>
      <w:pPr>
        <w:pStyle w:val="Heading1"/>
      </w:pPr>
      <w:r>
        <w:rPr>
          <w:rFonts w:ascii="Calibri" w:cs="Calibri" w:eastAsia="Calibri" w:hAnsi="Calibri"/>
        </w:rPr>
        <w:t xml:space="preserve">Appendix B. References</w:t>
      </w:r>
    </w:p>
    <w:p>
      <w:pPr>
        <w:pStyle w:val="ListParagraph"/>
        <w:numPr>
          <w:ilvl w:val="0"/>
          <w:numId w:val="2"/>
        </w:numPr>
        <w:spacing w:after="80" w:line="290"/>
      </w:pPr>
      <w:r>
        <w:rPr>
          <w:rFonts w:ascii="Calibri" w:cs="Calibri" w:eastAsia="Calibri" w:hAnsi="Calibri"/>
          <w:sz w:val="22"/>
          <w:szCs w:val="22"/>
        </w:rPr>
        <w:t xml:space="preserve">Bryant, P. G. and Smith, M. A. (1995). Practical Data Analysis: Case Studies in Business Statistics. Richard D. Irwin.</w:t>
      </w:r>
    </w:p>
    <w:p>
      <w:pPr>
        <w:pStyle w:val="ListParagraph"/>
        <w:numPr>
          <w:ilvl w:val="0"/>
          <w:numId w:val="2"/>
        </w:numPr>
        <w:spacing w:after="80" w:line="290"/>
      </w:pPr>
      <w:r>
        <w:rPr>
          <w:rFonts w:ascii="Calibri" w:cs="Calibri" w:eastAsia="Calibri" w:hAnsi="Calibri"/>
          <w:sz w:val="22"/>
          <w:szCs w:val="22"/>
        </w:rPr>
        <w:t xml:space="preserve">Welch, B. L. (1947). The generalization of Student’s problem when several different population variances are involved. Biometrika, 34, 28–35.</w:t>
      </w:r>
    </w:p>
    <w:p>
      <w:pPr>
        <w:pStyle w:val="ListParagraph"/>
        <w:numPr>
          <w:ilvl w:val="0"/>
          <w:numId w:val="2"/>
        </w:numPr>
        <w:spacing w:after="80" w:line="290"/>
      </w:pPr>
      <w:r>
        <w:rPr>
          <w:rFonts w:ascii="Calibri" w:cs="Calibri" w:eastAsia="Calibri" w:hAnsi="Calibri"/>
          <w:sz w:val="22"/>
          <w:szCs w:val="22"/>
        </w:rPr>
        <w:t xml:space="preserve">Holm, S. (1979). A simple sequentially rejective multiple test procedure. Scandinavian Journal of Statistics, 6, 65–70.</w:t>
      </w:r>
    </w:p>
    <w:p>
      <w:pPr>
        <w:pStyle w:val="ListParagraph"/>
        <w:numPr>
          <w:ilvl w:val="0"/>
          <w:numId w:val="2"/>
        </w:numPr>
        <w:spacing w:after="80" w:line="290"/>
      </w:pPr>
      <w:r>
        <w:rPr>
          <w:rFonts w:ascii="Calibri" w:cs="Calibri" w:eastAsia="Calibri" w:hAnsi="Calibri"/>
          <w:sz w:val="22"/>
          <w:szCs w:val="22"/>
        </w:rPr>
        <w:t xml:space="preserve">Lakens, D. (2017). Equivalence tests: a practical primer for t tests, correlations, and meta-analyses. Social Psychological and Personality Science, 8, 355–362.</w:t>
      </w:r>
    </w:p>
    <w:p>
      <w:pPr>
        <w:pStyle w:val="ListParagraph"/>
        <w:numPr>
          <w:ilvl w:val="0"/>
          <w:numId w:val="2"/>
        </w:numPr>
        <w:spacing w:after="80" w:line="290"/>
      </w:pPr>
      <w:r>
        <w:rPr>
          <w:rFonts w:ascii="Calibri" w:cs="Calibri" w:eastAsia="Calibri" w:hAnsi="Calibri"/>
          <w:sz w:val="22"/>
          <w:szCs w:val="22"/>
        </w:rPr>
        <w:t xml:space="preserve">Virtanen, P. et al. (2020). SciPy 1.0. Nature Methods, 17, 261–272.  Seabold, S. and Perktold, J. (2010). Statsmodels. Proc. 9th Python in Science Conf.</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Week 3 · Statistical Analysis and Hypothesis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5DCE6" w:sz="6" w:space="4"/>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F5D8A"/>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76cac590c52c5baec24f078e4c976de635edf8.png"/><Relationship Id="rId10" Type="http://schemas.openxmlformats.org/officeDocument/2006/relationships/image" Target="media/14238548eb87e5b63fde75fb041bb82f3dc034af.png"/><Relationship Id="rId11" Type="http://schemas.openxmlformats.org/officeDocument/2006/relationships/image" Target="media/313a134efef2310924088b31a98de4d75a16dfd8.png"/><Relationship Id="rId12" Type="http://schemas.openxmlformats.org/officeDocument/2006/relationships/image" Target="media/2a056ab14e8aaae98d1565972d6540f43579652d.png"/><Relationship Id="rId13" Type="http://schemas.openxmlformats.org/officeDocument/2006/relationships/image" Target="media/2235cc67e9430ea688397af032ab78eb01ae400c.png"/><Relationship Id="rId14" Type="http://schemas.openxmlformats.org/officeDocument/2006/relationships/image" Target="media/70fc59717ab3022374940f0ce344a78e4dbde9c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Statistical Analysis and Hypothesis Testing in Python</dc:title>
  <dc:creator>Statistical Analysis Report</dc:creator>
  <cp:lastModifiedBy>Un-named</cp:lastModifiedBy>
  <cp:revision>1</cp:revision>
  <dcterms:created xsi:type="dcterms:W3CDTF">2026-10-27T19:01:43.830Z</dcterms:created>
  <dcterms:modified xsi:type="dcterms:W3CDTF">2026-10-27T19:01:43.830Z</dcterms:modified>
</cp:coreProperties>
</file>

<file path=docProps/custom.xml><?xml version="1.0" encoding="utf-8"?>
<Properties xmlns="http://schemas.openxmlformats.org/officeDocument/2006/custom-properties" xmlns:vt="http://schemas.openxmlformats.org/officeDocument/2006/docPropsVTypes"/>
</file>