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DATA SCIENCE INTERNSHIP — WEEK 5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Customer Churn Analytics: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End-to-End Project Report and Strategic Recommendations</w:t>
      </w:r>
    </w:p>
    <w:p>
      <w:pPr>
        <w:pBdr>
          <w:top w:val="single" w:color="2E75B6" w:sz="12" w:space="8"/>
        </w:pBdr>
        <w:spacing w:after="100" w:before="400"/>
      </w:pPr>
      <w:r>
        <w:rPr>
          <w:rFonts w:ascii="Calibri" w:cs="Calibri" w:eastAsia="Calibri" w:hAnsi="Calibri"/>
          <w:sz w:val="24"/>
          <w:szCs w:val="24"/>
        </w:rPr>
        <w:t xml:space="preserve">Prepared by: [Your Name]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Organisation / Program: [Internship Provider]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Date: October 2026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Repository: github.com/[your-username]/customer-churn-analytics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Customer churn is the single largest controllable driver of revenue loss in subscription businesses. This project built an end-to-end analytics pipeline — data cleaning, exploratory analysis, predictive modelling and business-impact estimation — on a dataset of 5,000 telecom subscribers, of whom 37.8% churned during the observation window.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type is the strongest driver of churn: month-to-month customers churn at 55.4%, versus 22.6% for one-year and 6.8% for two-year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customers are the most fragile: customers in their first 12 months churn at 61%, versus 26% for customers beyond 24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Fiber-optic subscribers churn at 52.7%, roughly double DSL (26.9%); electronic-check payers churn at 45.5% against about 33–35% for other payment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Logistic Regression model reaches ROC-AUC of 0.83 on held-out data. The 20% of customers it ranks as highest risk contain 41.5% of all churners, giving a top-decile lift of 2.2x.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migration. </w:t>
      </w:r>
      <w:r>
        <w:rPr>
          <w:rFonts w:ascii="Calibri" w:cs="Calibri" w:eastAsia="Calibri" w:hAnsi="Calibri"/>
          <w:sz w:val="22"/>
          <w:szCs w:val="22"/>
        </w:rPr>
        <w:t xml:space="preserve">Convert month-to-month customers to annual contracts with targeted incentives.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Protect new customers. </w:t>
      </w:r>
      <w:r>
        <w:rPr>
          <w:rFonts w:ascii="Calibri" w:cs="Calibri" w:eastAsia="Calibri" w:hAnsi="Calibri"/>
          <w:sz w:val="22"/>
          <w:szCs w:val="22"/>
        </w:rPr>
        <w:t xml:space="preserve">Launch a structured 90-day onboarding and early-warning programme.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Risk-based targeting. </w:t>
      </w:r>
      <w:r>
        <w:rPr>
          <w:rFonts w:ascii="Calibri" w:cs="Calibri" w:eastAsia="Calibri" w:hAnsi="Calibri"/>
          <w:sz w:val="22"/>
          <w:szCs w:val="22"/>
        </w:rPr>
        <w:t xml:space="preserve">Deploy the churn model weekly to rank customers and trigger retention offers for the top 20% risk band.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root causes. </w:t>
      </w:r>
      <w:r>
        <w:rPr>
          <w:rFonts w:ascii="Calibri" w:cs="Calibri" w:eastAsia="Calibri" w:hAnsi="Calibri"/>
          <w:sz w:val="22"/>
          <w:szCs w:val="22"/>
        </w:rPr>
        <w:t xml:space="preserve">Investigate fiber-optic service quality and bundle tech support; nudge electronic-check payers to auto-pay.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impact: </w:t>
      </w:r>
      <w:r>
        <w:rPr>
          <w:rFonts w:ascii="Calibri" w:cs="Calibri" w:eastAsia="Calibri" w:hAnsi="Calibri"/>
          <w:sz w:val="22"/>
          <w:szCs w:val="22"/>
        </w:rPr>
        <w:t xml:space="preserve">under stated assumptions, a retention campaign aimed at the top 20% risk band of a 100,000-customer base could retain about 3,140 customers and generate roughly $1,794,735 in net annual revenue benefit (base scenario). Assumptions and sensitivity are in Section 7.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Data note: </w:t>
      </w:r>
      <w:r>
        <w:rPr>
          <w:rFonts w:ascii="Calibri" w:cs="Calibri" w:eastAsia="Calibri" w:hAnsi="Calibri"/>
          <w:sz w:val="22"/>
          <w:szCs w:val="22"/>
        </w:rPr>
        <w:t xml:space="preserve">this report uses a reproducible synthetic dataset modelled on public telecom-churn patterns so that every figure, table and code excerpt can be regenerated from the repository. The pipeline accepts a real dataset with the same schema without code changes.</w:t>
      </w:r>
    </w:p>
    <w:p>
      <w:r>
        <w:br w:type="page"/>
      </w:r>
    </w:p>
    <w:p>
      <w:pPr>
        <w:pStyle w:val="Heading1"/>
      </w:pPr>
      <w:r>
        <w:t xml:space="preserve">2. Introduction</w:t>
      </w:r>
    </w:p>
    <w:p>
      <w:pPr>
        <w:pStyle w:val="Heading2"/>
      </w:pPr>
      <w:r>
        <w:t xml:space="preserve">2.1 Background and problem statement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Acquiring a new customer typically costs several times more than retaining an existing one. A subscription business that can anticipate which customers are likely to leave, and understand why, can intervene early and cheaply. The business question addressed here is: which customers are most likely to churn, what drives that risk, and what should the business do about it?</w:t>
      </w:r>
    </w:p>
    <w:p>
      <w:pPr>
        <w:pStyle w:val="Heading2"/>
      </w:pPr>
      <w:r>
        <w:t xml:space="preserve">2.2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Describe </w:t>
      </w:r>
      <w:r>
        <w:rPr>
          <w:rFonts w:ascii="Calibri" w:cs="Calibri" w:eastAsia="Calibri" w:hAnsi="Calibri"/>
          <w:sz w:val="22"/>
          <w:szCs w:val="22"/>
        </w:rPr>
        <w:t xml:space="preserve">the churn problem and quantify its scale and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</w:t>
      </w:r>
      <w:r>
        <w:rPr>
          <w:rFonts w:ascii="Calibri" w:cs="Calibri" w:eastAsia="Calibri" w:hAnsi="Calibri"/>
          <w:sz w:val="22"/>
          <w:szCs w:val="22"/>
        </w:rPr>
        <w:t xml:space="preserve">the factors most associated with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Predict </w:t>
      </w:r>
      <w:r>
        <w:rPr>
          <w:rFonts w:ascii="Calibri" w:cs="Calibri" w:eastAsia="Calibri" w:hAnsi="Calibri"/>
          <w:sz w:val="22"/>
          <w:szCs w:val="22"/>
        </w:rPr>
        <w:t xml:space="preserve">individual churn probability with a validated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 </w:t>
      </w:r>
      <w:r>
        <w:rPr>
          <w:rFonts w:ascii="Calibri" w:cs="Calibri" w:eastAsia="Calibri" w:hAnsi="Calibri"/>
          <w:sz w:val="22"/>
          <w:szCs w:val="22"/>
        </w:rPr>
        <w:t xml:space="preserve">prioritised, measurable actions and estimate their business impact.</w:t>
      </w:r>
    </w:p>
    <w:p>
      <w:pPr>
        <w:pStyle w:val="Heading2"/>
      </w:pPr>
      <w:r>
        <w:t xml:space="preserve">2.3 Project journey (Weeks 1–5)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framing, data acquisition and audit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dictionary, missing-value report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cleaning and exploratory analysis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Clean dataset; Figures 1–5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Feature engineering and baseline modelling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Pipeline with scaling and one-hot encoding; logistic baseline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comparison, evaluation and interpretation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Figures 6–9; threshold tuning; feature importance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Synthesis, strategy and reporting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report and GitHub repository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1: Weekly progression of the project.</w:t>
      </w:r>
    </w:p>
    <w:p>
      <w:r>
        <w:br w:type="page"/>
      </w:r>
    </w:p>
    <w:p>
      <w:pPr>
        <w:pStyle w:val="Heading1"/>
      </w:pPr>
      <w:r>
        <w:t xml:space="preserve">3. Data and Methodology</w:t>
      </w:r>
    </w:p>
    <w:p>
      <w:pPr>
        <w:pStyle w:val="Heading2"/>
      </w:pPr>
      <w:r>
        <w:t xml:space="preserve">3.1 Dataset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dataset contains 5,000 customers and 12 columns. The target is churn (1 = customer left, 0 = retained).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 identifier (dropped before modelling)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tenure_months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Months as a customer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Month-to-month, One year, Two year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internet_service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Fiber optic, DSL, No internet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monthly_charges / total_charges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monthly bill / cumulative billing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Electronic check, Mailed check, Bank transfer, Credit card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tech_support, paperless_billing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Add-on and billing preference flags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senior_citizen, support_calls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Senior flag; number of support calls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Binary target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if customer churned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2: Data dictionary.</w:t>
      </w:r>
    </w:p>
    <w:p>
      <w:pPr>
        <w:pStyle w:val="Heading2"/>
      </w:pPr>
      <w:r>
        <w:t xml:space="preserve">3.2 Data cleaning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 audit found 60 missing values in total_charges (1.2%). Because total charges is arithmetically tied to monthly charges and tenure, missing values were imputed as monthly_charges × tenure_months rather than with a mean, preserving the relationship between variables. No duplicates were found, and categorical labels were checked for inconsistent spellings.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 = pd.read_csv("data/customer_churn.csv")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print(df.isna().sum()[lambda s: s &gt; 0])      # audit: 60 missing in total_charges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impute using the known business relationship, not a global mean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df["total_charges"] = df["total_charges"].fillna(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df["monthly_charges"] * df["tenure_months"])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 Excerpt 1: Missing-value audit and domain-based imputation (src/eda.py).</w:t>
      </w:r>
    </w:p>
    <w:p>
      <w:pPr>
        <w:pStyle w:val="Heading2"/>
      </w:pPr>
      <w:r>
        <w:t xml:space="preserve">3.3 Exploratory data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EDA combined univariate distributions, churn-rate comparisons across segments and a correlation matrix. Segment churn rates (mean of the binary target) were used because they are directly interpretable by business stakeholders.</w:t>
      </w:r>
    </w:p>
    <w:p>
      <w:pPr>
        <w:pStyle w:val="Heading2"/>
      </w:pPr>
      <w:r>
        <w:t xml:space="preserve">3.4 Modelling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Split. </w:t>
      </w:r>
      <w:r>
        <w:rPr>
          <w:rFonts w:ascii="Calibri" w:cs="Calibri" w:eastAsia="Calibri" w:hAnsi="Calibri"/>
          <w:sz w:val="22"/>
          <w:szCs w:val="22"/>
        </w:rPr>
        <w:t xml:space="preserve">Stratified 80/20 train-test split (random_state=42), preserving the churn 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Preprocessing. </w:t>
      </w:r>
      <w:r>
        <w:rPr>
          <w:rFonts w:ascii="Calibri" w:cs="Calibri" w:eastAsia="Calibri" w:hAnsi="Calibri"/>
          <w:sz w:val="22"/>
          <w:szCs w:val="22"/>
        </w:rPr>
        <w:t xml:space="preserve">A scikit-learn ColumnTransformer standardises numeric features and one-hot encodes categoricals inside a Pipeline, so no information leaks from the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Candidates. </w:t>
      </w:r>
      <w:r>
        <w:rPr>
          <w:rFonts w:ascii="Calibri" w:cs="Calibri" w:eastAsia="Calibri" w:hAnsi="Calibri"/>
          <w:sz w:val="22"/>
          <w:szCs w:val="22"/>
        </w:rPr>
        <w:t xml:space="preserve">Logistic Regression (interpretable baseline), Random Forest and Gradient Boosting (non-linear).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Evaluation. </w:t>
      </w:r>
      <w:r>
        <w:rPr>
          <w:rFonts w:ascii="Calibri" w:cs="Calibri" w:eastAsia="Calibri" w:hAnsi="Calibri"/>
          <w:sz w:val="22"/>
          <w:szCs w:val="22"/>
        </w:rPr>
        <w:t xml:space="preserve">ROC-AUC (threshold-free ranking quality), plus accuracy, precision, recall and F1; 5-fold cross-validated AUC on the training set to check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Threshold. </w:t>
      </w:r>
      <w:r>
        <w:rPr>
          <w:rFonts w:ascii="Calibri" w:cs="Calibri" w:eastAsia="Calibri" w:hAnsi="Calibri"/>
          <w:sz w:val="22"/>
          <w:szCs w:val="22"/>
        </w:rPr>
        <w:t xml:space="preserve">The decision threshold was tuned to maximise F1 rather than left at 0.5, since missing a churner is costlier than contacting a loyal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Interpretation. </w:t>
      </w:r>
      <w:r>
        <w:rPr>
          <w:rFonts w:ascii="Calibri" w:cs="Calibri" w:eastAsia="Calibri" w:hAnsi="Calibri"/>
          <w:sz w:val="22"/>
          <w:szCs w:val="22"/>
        </w:rPr>
        <w:t xml:space="preserve">Permutation importance on the test set, and a lift analysis by risk decile.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pre = ColumnTransformer([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("num", StandardScaler(), num),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("cat", OneHotEncoder(handle_unknown="ignore"), cat)])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 = Pipeline([("pre", pre), ("model", model)]).fit(Xtr, ytr)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 = pipe.predict_proba(Xte)[:, 1]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cv = cross_val_score(pipe, Xtr, ytr, cv=5, scoring="roc_auc").mean()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 Excerpt 2: Leak-free preprocessing pipeline and evaluation (src/modeling.py).</w:t>
      </w:r>
    </w:p>
    <w:p>
      <w:r>
        <w:br w:type="page"/>
      </w:r>
    </w:p>
    <w:p>
      <w:pPr>
        <w:pStyle w:val="Heading1"/>
      </w:pPr>
      <w:r>
        <w:t xml:space="preserve">4. Results</w:t>
      </w:r>
    </w:p>
    <w:p>
      <w:pPr>
        <w:pStyle w:val="Heading2"/>
      </w:pPr>
      <w:r>
        <w:t xml:space="preserve">4.1 Scale of the churn problem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37.8% of customers churned (Figure 1). The classes are moderately imbalanced, which is why precision, recall and AUC are reported in addition to accuracy.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2514600"/>
            <wp:effectExtent t="0" r="0" b="0" l="0"/>
            <wp:docPr id="1" name="images/fig1_churn_distribution.png" descr="Figure 1: Distribution of retained and churned customers." title="Figure 1: Distribution of retained and churned custom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Distribution of retained and churned customers.</w:t>
      </w:r>
    </w:p>
    <w:p>
      <w:pPr>
        <w:pStyle w:val="Heading2"/>
      </w:pPr>
      <w:r>
        <w:t xml:space="preserve">4.2 Contract type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Churn falls sharply with commitment length: 55.4% for month-to-month, 22.6% for one-year and 6.8% for two-year contracts (Figure 2). Month-to-month customers are also the largest group (2,794 of 5,000), so this segment accounts for the majority of all lost customers.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540000"/>
            <wp:effectExtent t="0" r="0" b="0" l="0"/>
            <wp:docPr id="1" name="images/fig2_churn_by_contract.png" descr="Figure 2: Churn rate by contract type." title="Figure 2: Churn rate by contract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Churn rate by contract type.</w:t>
      </w:r>
    </w:p>
    <w:p>
      <w:pPr>
        <w:pStyle w:val="Heading2"/>
      </w:pPr>
      <w:r>
        <w:t xml:space="preserve">4.3 Customer tenure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Churners are concentrated in early tenure (Figure 3). Customers with 12 months or less of tenure churn at 61%; those beyond 24 months churn at 26%. The first year is therefore the critical retention window.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579077"/>
            <wp:effectExtent t="0" r="0" b="0" l="0"/>
            <wp:docPr id="1" name="images/fig3_tenure_hist.png" descr="Figure 3: Tenure distribution split by churn status (1 = churned)." title="Figure 3: Tenure distribution split by churn status (1 = churn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Tenure distribution split by churn status (1 = churned).</w:t>
      </w:r>
    </w:p>
    <w:p>
      <w:pPr>
        <w:pStyle w:val="Heading2"/>
      </w:pPr>
      <w:r>
        <w:t xml:space="preserve">4.4 Service type, tech support and payment method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Fiber-optic customers churn at 52.7% versus 26.9% for DSL, despite paying more, which suggests a service-quality or value-perception problem. Tech support is protective: among internet customers, those with tech support churn at 36% against 44% without (Figure 4). Electronic-check payers churn at 45.5%, about 10–12 points above other payment methods.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579077"/>
            <wp:effectExtent t="0" r="0" b="0" l="0"/>
            <wp:docPr id="1" name="images/fig4_internet_support.png" descr="Figure 4: Churn rate by internet service, split by tech-support subscription." title="Figure 4: Churn rate by internet service, split by tech-support subscri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Churn rate by internet service, split by tech-support subscription.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Payment method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Churn rate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Bank transfer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1,190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34.9%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Credit card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1,173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33.2%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Electronic 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1,716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45.5%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Mailed check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921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33.2%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3: Churn rate by payment method.</w:t>
      </w:r>
    </w:p>
    <w:p>
      <w:pPr>
        <w:pStyle w:val="Heading2"/>
      </w:pPr>
      <w:r>
        <w:t xml:space="preserve">4.5 Correlations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Tenure has the strongest negative correlation with churn; monthly charges and support calls are positively correlated. Total charges is largely redundant with tenure and monthly charges (Figure 5), which explains its modest importance later.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images/fig5_correlation.png" descr="Figure 5: Correlation matrix of numeric variables." title="Figure 5: Correlation matrix of numeric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Correlation matrix of numeric variables.</w:t>
      </w:r>
    </w:p>
    <w:p>
      <w:pPr>
        <w:pStyle w:val="Heading2"/>
      </w:pPr>
      <w:r>
        <w:t xml:space="preserve">4.6 Model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100"/>
        <w:gridCol w:w="1000"/>
        <w:gridCol w:w="900"/>
        <w:gridCol w:w="1200"/>
        <w:gridCol w:w="1300"/>
      </w:tblGrid>
      <w:tr>
        <w:trPr>
          <w:tblHeader/>
        </w:trPr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AUC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 AUC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0.832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0.821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0.822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4: Test-set metrics at threshold 0.5, and 5-fold cross-validated AUC.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three models perform within about one AUC point of each other, and cross-validated AUC closely matches test AUC, indicating no meaningful overfitting. Logistic Regression was selected: it ranks best, is the most interpretable, and is the simplest to deploy and monitor. Where signal is mostly additive, extra model complexity brings little benefit.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961409"/>
            <wp:effectExtent t="0" r="0" b="0" l="0"/>
            <wp:docPr id="1" name="images/fig6_roc.png" descr="Figure 6: ROC curves of the three candidate models on the test set." title="Figure 6: ROC curves of the three candidate models on the test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ROC curves of the three candidate models on the test set.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At the F1-optimal threshold of 0.37, the model identifies 308 of 378 actual churners (recall 81.5%) with precision of 61.8%. The 190 false positives represent loyal customers who would receive an unnecessary offer, which is the accepted cost of high recall.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38500" cy="2698750"/>
            <wp:effectExtent t="0" r="0" b="0" l="0"/>
            <wp:docPr id="1" name="images/fig7_confusion.png" descr="Figure 7: Confusion matrix on the test set at the tuned threshold." title="Figure 7: Confusion matrix on the test set at the tuned thresho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7: Confusion matrix on the test set at the tuned threshold.</w:t>
      </w:r>
    </w:p>
    <w:p>
      <w:pPr>
        <w:pStyle w:val="Heading2"/>
      </w:pPr>
      <w:r>
        <w:t xml:space="preserve">4.7 What drives churn?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Permutation importance ranks contract, tenure_months, monthly_charges, total_charges, payment_method as the top five predictors (Figure 8). Contract type dominates, at roughly four times the importance of the next feature. Demographic flags such as senior_citizen add almost nothing, so actions should be behavioural and contractual rather than demographic.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901462"/>
            <wp:effectExtent t="0" r="0" b="0" l="0"/>
            <wp:docPr id="1" name="images/fig8_importance.png" descr="Figure 8: Permutation feature importance (drop in AUC when a feature is shuffled)." title="Figure 8: Permutation feature importance (drop in AUC when a feature is shuffl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0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8: Permutation feature importance (drop in AUC when a feature is shuffled).</w:t>
      </w:r>
    </w:p>
    <w:p>
      <w:pPr>
        <w:pStyle w:val="Heading2"/>
      </w:pPr>
      <w:r>
        <w:t xml:space="preserve">4.8 Targeting value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Sorting customers by predicted risk shows that the top decile churns at 2.2 times the average rate, and the top two deciles contain 41.5% of all churners (Figure 9). A campaign focused on the top 20% is thus considerably more efficient than a blanket campaign.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413000"/>
            <wp:effectExtent t="0" r="0" b="0" l="0"/>
            <wp:docPr id="1" name="images/fig9_lift.png" descr="Figure 9: Lift by risk decile (1 = highest predicted risk)." title="Figure 9: Lift by risk decile (1 = highest predicted ris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9: Lift by risk decile (1 = highest predicted risk).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 = pd.DataFrame({"y": yte.values, "p": p})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d["decile"] = pd.qcut(d.p.rank(method="first", ascending=False), 10, labels=range(1, 11))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lift = d.groupby("decile", observed=True)["y"].mean() / d.y.mean()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capture = d[d.decile.isin([1, 2])].y.sum() / d.y.sum()   # share of churners in top 20%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 Excerpt 3: Lift and capture-rate calculation (src/modeling.py).</w:t>
      </w:r>
    </w:p>
    <w:p>
      <w:r>
        <w:br w:type="page"/>
      </w:r>
    </w:p>
    <w:p>
      <w:pPr>
        <w:pStyle w:val="Heading1"/>
      </w:pPr>
      <w:r>
        <w:t xml:space="preserve">5. Discussion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analysis tells a consistent story across descriptive and predictive views. Churn is not random: it is concentrated in customers with low commitment (month-to-month), low tenure (first year), higher friction (electronic check, more support calls) and, notably, in the premium fiber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Consistency. </w:t>
      </w:r>
      <w:r>
        <w:rPr>
          <w:rFonts w:ascii="Calibri" w:cs="Calibri" w:eastAsia="Calibri" w:hAnsi="Calibri"/>
          <w:sz w:val="22"/>
          <w:szCs w:val="22"/>
        </w:rPr>
        <w:t xml:space="preserve">Two independent methods, segment rates and model importance, agree that contract type is the main lever. This convergence increases confidence in the finding.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Fiber paradox. </w:t>
      </w:r>
      <w:r>
        <w:rPr>
          <w:rFonts w:ascii="Calibri" w:cs="Calibri" w:eastAsia="Calibri" w:hAnsi="Calibri"/>
          <w:sz w:val="22"/>
          <w:szCs w:val="22"/>
        </w:rPr>
        <w:t xml:space="preserve">Fiber customers pay more but leave more. This may signal reliability problems, aggressive competitor offers in fiber markets, or price-value mismatch; the data cannot distinguish these, so a qualitative follow-up is advised.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Correlation vs causation. </w:t>
      </w:r>
      <w:r>
        <w:rPr>
          <w:rFonts w:ascii="Calibri" w:cs="Calibri" w:eastAsia="Calibri" w:hAnsi="Calibri"/>
          <w:sz w:val="22"/>
          <w:szCs w:val="22"/>
        </w:rPr>
        <w:t xml:space="preserve">The protective effect of tech support (36% vs 44% churn) is encouraging but observational; customers who buy support may simply be more engaged. A controlled trial is needed before claiming causality.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Threshold trade-off. </w:t>
      </w:r>
      <w:r>
        <w:rPr>
          <w:rFonts w:ascii="Calibri" w:cs="Calibri" w:eastAsia="Calibri" w:hAnsi="Calibri"/>
          <w:sz w:val="22"/>
          <w:szCs w:val="22"/>
        </w:rPr>
        <w:t xml:space="preserve">Moving from a 0.5 to a 0.37 threshold raises recall substantially at the cost of precision. The right threshold depends on the cost of an offer relative to the value of a saved customer and should be revisited by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Simplicity wins. </w:t>
      </w:r>
      <w:r>
        <w:rPr>
          <w:rFonts w:ascii="Calibri" w:cs="Calibri" w:eastAsia="Calibri" w:hAnsi="Calibri"/>
          <w:sz w:val="22"/>
          <w:szCs w:val="22"/>
        </w:rPr>
        <w:t xml:space="preserve">The simple model matched complex ones. This is good news operationally: it is transparent to non-technical stakeholders, cheap to run and easy to audit.</w:t>
      </w:r>
    </w:p>
    <w:p>
      <w:pPr>
        <w:pStyle w:val="Heading1"/>
      </w:pPr>
      <w:r>
        <w:t xml:space="preserve">6. Strategic Recommendations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Recommendations are ordered by expected impact and linked to specific evidence and measurable KPIs.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2126"/>
        <w:gridCol w:w="13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/ target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Contract migration: offer discounts or perks for 12-month plans to month-to-month customers, prioritising high-risk accounts.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55.4% vs 6.8% churn (month-to-month vs two-year)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Month-to-month share down from 56% to 45%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0–3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onboarding programme: welcome call, usage check-ins, proactive issue resolution within the first year.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61% churn in first 12 months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First-year churn down by 10 points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0–6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Model-driven retention: score customers weekly; contact the top 20% risk band with tailored offers.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 20% hold 41.5% of churners; lift 2.2x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 rate of at least 20% among contacted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1–3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Fiber quality and value review: audit outages, speed delivery and price versus competitors; run exit surveys.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52.7% fiber vs 26.9% DSL churn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Fiber churn within 10 points of DSL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3–6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Bundle tech support (free trial for 3 months) for new internet customers.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36% vs 44% churn with/without support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Tech-support attach rate from 35% to 50%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3–6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Payment friction: incentivise auto-pay via card or bank transfer for electronic-check users.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45.5% churn on e-check vs about 33% others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E-check share down by 10 points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3–9 months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Experimentation: A/B test every offer with a holdout group to measure true uplift.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Observational data cannot prove causality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Statistically significant uplift reported per campaign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Ongoing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5: Prioritised strategic recommendations.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These recommendations inform decision-making in three ways: they tell marketing where to spend (high-risk, month-to-month, first-year segments), tell product and operations where to investigate (fiber), and tell management how to measure success (KPIs and controlled experiments).</w:t>
      </w:r>
    </w:p>
    <w:p>
      <w:pPr>
        <w:pStyle w:val="Heading1"/>
      </w:pPr>
      <w:r>
        <w:t xml:space="preserve">7. Potential Business Impact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simple financial model estimates the value of recommendation 3 (risk-based targeting). Assumptions: a base of 100,000 customers; the top 20.0% by risk are contacted; precision in that band is 78.5% (measured on the test set); average monthly revenue per customer is $61; each saved customer stays 12 additional months; each contact costs $25 (offer plus handling).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700"/>
        <w:gridCol w:w="1600"/>
        <w:gridCol w:w="1600"/>
        <w:gridCol w:w="15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Save 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Customers saved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 retained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Campaign cost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 benefit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1,570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$1,147,367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$647,367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129%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3,140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$2,294,735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$1,794,735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359%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4,710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$3,442,102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$500,000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$2,942,102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588%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6: Sensitivity of campaign value to the save rate (20,000 customers contacted).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Even at a conservative 10% save rate the campaign is positive-return, and the case strengthens with higher save rates or lower offer costs. These are illustrative figures, not forecasts: the save rate in particular must be measured through an A/B test before scaling. Additional non-quantified benefits include lower acquisition spend to replace lost customers, better capacity planning, and higher customer lifetime value.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targeted  = 100_000 * 0.20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at_risk   = targeted * precision_top20          # churners inside contacted group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saved     = at_risk * save_rate                 # e.g. 0.20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net       = saved * arpu * 12 - targeted * offer_cost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Code Excerpt 4: Business-case calculation behind Table 6.</w:t>
      </w:r>
    </w:p>
    <w:p>
      <w:pPr>
        <w:pStyle w:val="Heading1"/>
      </w:pPr>
      <w:r>
        <w:t xml:space="preserve">8. Limitations and Future Improvements</w:t>
      </w:r>
    </w:p>
    <w:p>
      <w:pPr>
        <w:pStyle w:val="Heading2"/>
      </w:pPr>
      <w:r>
        <w:t xml:space="preserve">8.1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realism. </w:t>
      </w:r>
      <w:r>
        <w:rPr>
          <w:rFonts w:ascii="Calibri" w:cs="Calibri" w:eastAsia="Calibri" w:hAnsi="Calibri"/>
          <w:sz w:val="22"/>
          <w:szCs w:val="22"/>
        </w:rPr>
        <w:t xml:space="preserve">The dataset is synthetic. Effect sizes, particularly the strong contract effect, may differ in a real customer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causal identification. </w:t>
      </w:r>
      <w:r>
        <w:rPr>
          <w:rFonts w:ascii="Calibri" w:cs="Calibri" w:eastAsia="Calibri" w:hAnsi="Calibri"/>
          <w:sz w:val="22"/>
          <w:szCs w:val="22"/>
        </w:rPr>
        <w:t xml:space="preserve">Findings are associations. Observational analysis cannot establish that, for example, tech support causes lower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temporal validation. </w:t>
      </w:r>
      <w:r>
        <w:rPr>
          <w:rFonts w:ascii="Calibri" w:cs="Calibri" w:eastAsia="Calibri" w:hAnsi="Calibri"/>
          <w:sz w:val="22"/>
          <w:szCs w:val="22"/>
        </w:rPr>
        <w:t xml:space="preserve">A single random split in one time window does not test performance on future customers; real churn patterns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Limited features. </w:t>
      </w:r>
      <w:r>
        <w:rPr>
          <w:rFonts w:ascii="Calibri" w:cs="Calibri" w:eastAsia="Calibri" w:hAnsi="Calibri"/>
          <w:sz w:val="22"/>
          <w:szCs w:val="22"/>
        </w:rPr>
        <w:t xml:space="preserve">Only contract, billing and usage-summary fields were available. Network quality, competitor pricing, satisfaction scores and detailed usage are likely important missing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Modelling simplifications. </w:t>
      </w:r>
      <w:r>
        <w:rPr>
          <w:rFonts w:ascii="Calibri" w:cs="Calibri" w:eastAsia="Calibri" w:hAnsi="Calibri"/>
          <w:sz w:val="22"/>
          <w:szCs w:val="22"/>
        </w:rPr>
        <w:t xml:space="preserve">Imputation was simple, hyperparameters were lightly tuned, and model probabilities were not calibrated.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assumptions. </w:t>
      </w:r>
      <w:r>
        <w:rPr>
          <w:rFonts w:ascii="Calibri" w:cs="Calibri" w:eastAsia="Calibri" w:hAnsi="Calibri"/>
          <w:sz w:val="22"/>
          <w:szCs w:val="22"/>
        </w:rPr>
        <w:t xml:space="preserve">The business case depends on assumed save rate, offer cost and customer lifetime.</w:t>
      </w:r>
    </w:p>
    <w:p>
      <w:pPr>
        <w:pStyle w:val="Heading2"/>
      </w:pPr>
      <w:r>
        <w:t xml:space="preserve">8.2 Future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Temporal validation. </w:t>
      </w:r>
      <w:r>
        <w:rPr>
          <w:rFonts w:ascii="Calibri" w:cs="Calibri" w:eastAsia="Calibri" w:hAnsi="Calibri"/>
          <w:sz w:val="22"/>
          <w:szCs w:val="22"/>
        </w:rPr>
        <w:t xml:space="preserve">Validate on real data using time-based splits (train on earlier months, test on later ones).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enrichment. </w:t>
      </w:r>
      <w:r>
        <w:rPr>
          <w:rFonts w:ascii="Calibri" w:cs="Calibri" w:eastAsia="Calibri" w:hAnsi="Calibri"/>
          <w:sz w:val="22"/>
          <w:szCs w:val="22"/>
        </w:rPr>
        <w:t xml:space="preserve">Add richer features: usage trends, billing disputes, outage history, NPS and competitor activity.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Calibration and tuning. </w:t>
      </w:r>
      <w:r>
        <w:rPr>
          <w:rFonts w:ascii="Calibri" w:cs="Calibri" w:eastAsia="Calibri" w:hAnsi="Calibri"/>
          <w:sz w:val="22"/>
          <w:szCs w:val="22"/>
        </w:rPr>
        <w:t xml:space="preserve">Calibrate probabilities and tune hyperparameters with cross-validated search (e.g. Optuna).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Survival and uplift modelling. </w:t>
      </w:r>
      <w:r>
        <w:rPr>
          <w:rFonts w:ascii="Calibri" w:cs="Calibri" w:eastAsia="Calibri" w:hAnsi="Calibri"/>
          <w:sz w:val="22"/>
          <w:szCs w:val="22"/>
        </w:rPr>
        <w:t xml:space="preserve">Add survival analysis to predict when churn happens, and uplift models to target customers who respond to offers rather than those merely likely to leave.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Explainability. </w:t>
      </w:r>
      <w:r>
        <w:rPr>
          <w:rFonts w:ascii="Calibri" w:cs="Calibri" w:eastAsia="Calibri" w:hAnsi="Calibri"/>
          <w:sz w:val="22"/>
          <w:szCs w:val="22"/>
        </w:rPr>
        <w:t xml:space="preserve">Use SHAP for customer-level explanations that agents can act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Deployment. </w:t>
      </w:r>
      <w:r>
        <w:rPr>
          <w:rFonts w:ascii="Calibri" w:cs="Calibri" w:eastAsia="Calibri" w:hAnsi="Calibri"/>
          <w:sz w:val="22"/>
          <w:szCs w:val="22"/>
        </w:rPr>
        <w:t xml:space="preserve">Schedule retraining, monitor data drift, and expose scores through a dashboard or API (MLOps).</w:t>
      </w:r>
    </w:p>
    <w:p>
      <w:pPr>
        <w:pStyle w:val="Heading1"/>
      </w:pPr>
      <w:r>
        <w:t xml:space="preserve">9. Conclusion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project delivered a complete data science workflow: a cleaned dataset, a clear picture of who churns and why, a validated predictive model (AUC 0.83), and a prioritised action plan with a transparent business case. The central insight is that churn is concentrated in a small number of identifiable segments, namely month-to-month, first-year, fiber and electronic-check customers. This makes it addressable through targeted, measurable interventions rather than broad discounting. The recommended next step is a pilot with a holdout group to confirm real-world save rates before scaling.</w:t>
      </w:r>
    </w:p>
    <w:p>
      <w:r>
        <w:br w:type="page"/>
      </w:r>
    </w:p>
    <w:p>
      <w:pPr>
        <w:pStyle w:val="Heading1"/>
      </w:pPr>
      <w:r>
        <w:t xml:space="preserve">Appendix A. Repository Structure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customer-churn-analytics/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README.md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requirements.txt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run_all.sh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build_report.js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.gitignore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data/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customer_churn.csv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`-- customer_churn_clean.csv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src/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generate_data.py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eda.py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`-- modeling.py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images/            (fig1 ... fig9 .png)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outputs/           (metrics.json, model_comparison.csv, ...)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`-- reports/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`-- Week5_Final_Project_Report.docx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Listing 1: GitHub repository layout.</w:t>
      </w:r>
    </w:p>
    <w:p>
      <w:pPr>
        <w:pStyle w:val="Heading1"/>
      </w:pPr>
      <w:r>
        <w:t xml:space="preserve">Appendix B. Reproducing the Results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bash run_all.sh            # regenerate data, figures, metrics</w:t>
      </w:r>
    </w:p>
    <w:p>
      <w:pPr>
        <w:pBdr>
          <w:left w:val="single" w:color="2E75B6" w:sz="12" w:space="6"/>
        </w:pBdr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build_report.js       # rebuild this report (needs: npm install docx)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Listing 2: Commands to reproduce all results.</w:t>
      </w:r>
    </w:p>
    <w:p>
      <w:pPr>
        <w:pStyle w:val="Heading1"/>
      </w:pPr>
      <w:r>
        <w:t xml:space="preserve">Appendix C.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Churn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customer ending their subscription during the observation window.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ROC-AUC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Probability that the model ranks a random churner above a random non-churner (0.5 = chance, 1.0 = perfect).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 customers flagged, the share who truly churn / of all churners, the share we flag.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Lift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 many times more concentrated churners are in a group versus the overall average.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Permutation importance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Drop in model performance when one feature's values are randomly shuffled.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Table 7: Key terms.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Customer Churn Analytics — Week 5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9a848da7ae2f92065688e77de9b0d4ad89cd43.png"/><Relationship Id="rId10" Type="http://schemas.openxmlformats.org/officeDocument/2006/relationships/image" Target="media/df4fced5eab4b9ac039bcbd4b8d841f22768b3c0.png"/><Relationship Id="rId11" Type="http://schemas.openxmlformats.org/officeDocument/2006/relationships/image" Target="media/0f75955b302c7185cf91c97ad0719882ebfba6cb.png"/><Relationship Id="rId12" Type="http://schemas.openxmlformats.org/officeDocument/2006/relationships/image" Target="media/d0ccae3acc72d1796a04c3de8fbbfa3a4ed257a0.png"/><Relationship Id="rId13" Type="http://schemas.openxmlformats.org/officeDocument/2006/relationships/image" Target="media/8e155c0f218e0009483842bb060f555d29822fb4.png"/><Relationship Id="rId14" Type="http://schemas.openxmlformats.org/officeDocument/2006/relationships/image" Target="media/a35ff7f406821f573c42b066c6f27d5f68393f7d.png"/><Relationship Id="rId15" Type="http://schemas.openxmlformats.org/officeDocument/2006/relationships/image" Target="media/040a80e21f871497a0013351c924ed7809047aef.png"/><Relationship Id="rId16" Type="http://schemas.openxmlformats.org/officeDocument/2006/relationships/image" Target="media/ec51213ddd8500cb874739f7762e75f7be24a48d.png"/><Relationship Id="rId17" Type="http://schemas.openxmlformats.org/officeDocument/2006/relationships/image" Target="media/8a77dd2c0a5f42c124d44e47bbd784156645771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Analytics: Week 5 Final Report</dc:title>
  <dc:creator>Data Science Intern</dc:creator>
  <cp:lastModifiedBy>Un-named</cp:lastModifiedBy>
  <cp:revision>1</cp:revision>
  <dcterms:created xsi:type="dcterms:W3CDTF">2026-10-28T11:20:24.370Z</dcterms:created>
  <dcterms:modified xsi:type="dcterms:W3CDTF">2026-10-28T11:20:24.370Z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