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0BE7E" w14:textId="21D0D4E7" w:rsidR="00BD5AEE" w:rsidRDefault="00000000">
      <w:pPr>
        <w:spacing w:before="157" w:after="157" w:line="270" w:lineRule="auto"/>
      </w:pPr>
      <w:bookmarkStart w:id="0" w:name="week_7_security_assessment_report_869d75"/>
      <w:r>
        <w:rPr>
          <w:rFonts w:ascii="source serif 4" w:eastAsia="source serif 4" w:hAnsi="source serif 4" w:cs="source serif 4"/>
          <w:b/>
          <w:color w:val="000000"/>
          <w:sz w:val="39"/>
        </w:rPr>
        <w:t>Security Assessment Report: IIoT Security &amp; Optimization</w:t>
      </w:r>
      <w:bookmarkEnd w:id="0"/>
    </w:p>
    <w:p w14:paraId="1402D713" w14:textId="0ADBA963" w:rsidR="00BD5AEE" w:rsidRDefault="00000000">
      <w:pPr>
        <w:spacing w:after="210" w:line="360" w:lineRule="auto"/>
      </w:pPr>
      <w:r w:rsidRPr="00E73FBF">
        <w:rPr>
          <w:rFonts w:ascii="source serif 4" w:eastAsia="source serif 4" w:hAnsi="source serif 4" w:cs="source serif 4"/>
          <w:b/>
          <w:bCs/>
          <w:color w:val="000000"/>
          <w:sz w:val="33"/>
          <w:szCs w:val="34"/>
          <w:u w:val="single"/>
        </w:rPr>
        <w:t>Industrial Internet of Things</w:t>
      </w:r>
      <w:r w:rsidRPr="00E73FBF">
        <w:rPr>
          <w:rFonts w:ascii="source serif 4" w:eastAsia="source serif 4" w:hAnsi="source serif 4" w:cs="source serif 4"/>
          <w:color w:val="000000"/>
          <w:sz w:val="33"/>
          <w:szCs w:val="34"/>
        </w:rPr>
        <w:t xml:space="preserve"> </w:t>
      </w:r>
      <w:r>
        <w:rPr>
          <w:rFonts w:ascii="source serif 4" w:eastAsia="source serif 4" w:hAnsi="source serif 4" w:cs="source serif 4"/>
          <w:color w:val="000000"/>
        </w:rPr>
        <w:t>systems connect sensors, controllers, gateways, industrial networks, and cloud or enterprise applications to improve visibility, automation, and operational efficiency. The same interconnection increases cyber risk because devices, protocols, remote access paths, and data flows create many points where confidentiality, integrity, or availability can be compromised.</w:t>
      </w:r>
    </w:p>
    <w:p w14:paraId="4C01C25A" w14:textId="2938D67F" w:rsidR="00BD5AEE" w:rsidRDefault="00000000">
      <w:pPr>
        <w:spacing w:after="210" w:line="360" w:lineRule="auto"/>
      </w:pPr>
      <w:r>
        <w:rPr>
          <w:rFonts w:ascii="source serif 4" w:eastAsia="source serif 4" w:hAnsi="source serif 4" w:cs="source serif 4"/>
          <w:color w:val="000000"/>
        </w:rPr>
        <w:t xml:space="preserve">This security assessment report focuses on four core areas required for </w:t>
      </w:r>
      <w:r w:rsidR="00E73FBF">
        <w:rPr>
          <w:rFonts w:ascii="source serif 4" w:eastAsia="source serif 4" w:hAnsi="source serif 4" w:cs="source serif 4"/>
          <w:color w:val="000000"/>
        </w:rPr>
        <w:t>s</w:t>
      </w:r>
      <w:r>
        <w:rPr>
          <w:rFonts w:ascii="source serif 4" w:eastAsia="source serif 4" w:hAnsi="source serif 4" w:cs="source serif 4"/>
          <w:color w:val="000000"/>
        </w:rPr>
        <w:t xml:space="preserve">ecurity vulnerabilities, secure communication, authentication, and encryption </w:t>
      </w:r>
      <w:r w:rsidR="00E73FBF">
        <w:rPr>
          <w:rFonts w:ascii="source serif 4" w:eastAsia="source serif 4" w:hAnsi="source serif 4" w:cs="source serif 4"/>
          <w:color w:val="000000"/>
        </w:rPr>
        <w:t>methods.</w:t>
      </w:r>
    </w:p>
    <w:p w14:paraId="7A89D759" w14:textId="77777777" w:rsidR="00BD5AEE" w:rsidRPr="00E73FBF" w:rsidRDefault="00000000">
      <w:pPr>
        <w:spacing w:before="315" w:after="105" w:line="360" w:lineRule="auto"/>
        <w:ind w:left="-30"/>
        <w:rPr>
          <w:sz w:val="32"/>
          <w:szCs w:val="36"/>
          <w:u w:val="single"/>
        </w:rPr>
      </w:pPr>
      <w:bookmarkStart w:id="1" w:name="overview_of_iiot_security"/>
      <w:r w:rsidRPr="00E73FBF">
        <w:rPr>
          <w:rFonts w:ascii="source serif 4" w:eastAsia="source serif 4" w:hAnsi="source serif 4" w:cs="source serif 4"/>
          <w:b/>
          <w:color w:val="000000"/>
          <w:sz w:val="32"/>
          <w:szCs w:val="30"/>
          <w:u w:val="single"/>
        </w:rPr>
        <w:t>Overview of IIoT Security</w:t>
      </w:r>
      <w:bookmarkEnd w:id="1"/>
    </w:p>
    <w:p w14:paraId="15177DAD" w14:textId="04A5AC78" w:rsidR="00BD5AEE" w:rsidRDefault="00000000">
      <w:pPr>
        <w:spacing w:after="210" w:line="360" w:lineRule="auto"/>
      </w:pPr>
      <w:r>
        <w:rPr>
          <w:rFonts w:ascii="source serif 4" w:eastAsia="source serif 4" w:hAnsi="source serif 4" w:cs="source serif 4"/>
          <w:color w:val="000000"/>
        </w:rPr>
        <w:t>IIoT security is the set of policies, technologies, and engineering controls used to protect connected industrial devices, communication channels, control systems, and industrial data from unauthorized access, manipulation, disruption, or destruction</w:t>
      </w:r>
      <w:r w:rsidR="00E73FBF">
        <w:rPr>
          <w:rFonts w:ascii="source serif 4" w:eastAsia="source serif 4" w:hAnsi="source serif 4" w:cs="source serif 4"/>
          <w:color w:val="000000"/>
        </w:rPr>
        <w:t>.</w:t>
      </w:r>
    </w:p>
    <w:p w14:paraId="413D1191" w14:textId="77777777" w:rsidR="00BD5AEE" w:rsidRDefault="00000000">
      <w:pPr>
        <w:spacing w:before="315" w:after="105" w:line="360" w:lineRule="auto"/>
        <w:ind w:left="-30"/>
      </w:pPr>
      <w:bookmarkStart w:id="2" w:name="importance_of_security_in_industrial_iot"/>
      <w:r>
        <w:rPr>
          <w:rFonts w:ascii="source serif 4" w:eastAsia="source serif 4" w:hAnsi="source serif 4" w:cs="source serif 4"/>
          <w:b/>
          <w:color w:val="000000"/>
          <w:sz w:val="24"/>
        </w:rPr>
        <w:t>Importance of Security in Industrial IoT</w:t>
      </w:r>
      <w:bookmarkEnd w:id="2"/>
    </w:p>
    <w:p w14:paraId="08EC0845" w14:textId="77777777" w:rsidR="00E73FBF" w:rsidRDefault="00000000">
      <w:pPr>
        <w:spacing w:after="210" w:line="360" w:lineRule="auto"/>
        <w:rPr>
          <w:rFonts w:ascii="source serif 4" w:eastAsia="source serif 4" w:hAnsi="source serif 4" w:cs="source serif 4"/>
          <w:color w:val="000000"/>
        </w:rPr>
      </w:pPr>
      <w:r>
        <w:rPr>
          <w:rFonts w:ascii="source serif 4" w:eastAsia="source serif 4" w:hAnsi="source serif 4" w:cs="source serif 4"/>
          <w:color w:val="000000"/>
        </w:rPr>
        <w:t>Security is important in Industrial IoT because cyber incidents can do more than leak information; they can stop production, alter process values, damage assets, and create unsafe conditions for workers and equipment.</w:t>
      </w:r>
    </w:p>
    <w:p w14:paraId="5ED7B899" w14:textId="1F25D1BD" w:rsidR="00BD5AEE" w:rsidRDefault="00000000">
      <w:pPr>
        <w:spacing w:after="210" w:line="360" w:lineRule="auto"/>
      </w:pPr>
      <w:r>
        <w:rPr>
          <w:rFonts w:ascii="source serif 4" w:eastAsia="source serif 4" w:hAnsi="source serif 4" w:cs="source serif 4"/>
          <w:color w:val="000000"/>
        </w:rPr>
        <w:t>NIST guidance for OT security emphasizes that threats to industrial systems affect mission and business functions directly, which is why cyber risk management in IIoT must be treated as an operational requirement rather than just an IT concern.</w:t>
      </w:r>
    </w:p>
    <w:p w14:paraId="14D1A605" w14:textId="77777777" w:rsidR="00BD5AEE" w:rsidRDefault="00000000">
      <w:pPr>
        <w:spacing w:before="315" w:after="105" w:line="360" w:lineRule="auto"/>
        <w:ind w:left="-30"/>
      </w:pPr>
      <w:bookmarkStart w:id="3" w:name="cia_triad_in_iiot"/>
      <w:r>
        <w:rPr>
          <w:rFonts w:ascii="source serif 4" w:eastAsia="source serif 4" w:hAnsi="source serif 4" w:cs="source serif 4"/>
          <w:b/>
          <w:color w:val="000000"/>
          <w:sz w:val="24"/>
        </w:rPr>
        <w:t>CIA Triad in IIoT</w:t>
      </w:r>
      <w:bookmarkEnd w:id="3"/>
    </w:p>
    <w:p w14:paraId="49DAB886" w14:textId="13285908" w:rsidR="00BD5AEE" w:rsidRDefault="00000000">
      <w:pPr>
        <w:spacing w:after="210" w:line="360" w:lineRule="auto"/>
      </w:pPr>
      <w:r>
        <w:rPr>
          <w:rFonts w:ascii="source serif 4" w:eastAsia="source serif 4" w:hAnsi="source serif 4" w:cs="source serif 4"/>
          <w:color w:val="000000"/>
        </w:rPr>
        <w:t>The CIA triad remains a useful framework for understanding IIoT security goals.</w:t>
      </w:r>
    </w:p>
    <w:p w14:paraId="66E5DB0C" w14:textId="05EC3FCC" w:rsidR="00BD5AEE" w:rsidRDefault="00000000">
      <w:pPr>
        <w:numPr>
          <w:ilvl w:val="0"/>
          <w:numId w:val="1"/>
        </w:numPr>
        <w:spacing w:before="105" w:after="105" w:line="360" w:lineRule="auto"/>
      </w:pPr>
      <w:r>
        <w:rPr>
          <w:rFonts w:ascii="source serif 4" w:eastAsia="source serif 4" w:hAnsi="source serif 4" w:cs="source serif 4"/>
          <w:b/>
          <w:color w:val="000000"/>
        </w:rPr>
        <w:t>Confidentiality</w:t>
      </w:r>
      <w:r>
        <w:rPr>
          <w:rFonts w:ascii="source serif 4" w:eastAsia="source serif 4" w:hAnsi="source serif 4" w:cs="source serif 4"/>
          <w:color w:val="000000"/>
        </w:rPr>
        <w:t xml:space="preserve"> means sensitive process data, credentials, firmware, and maintenance sessions should not be exposed to unauthorized parties.</w:t>
      </w:r>
    </w:p>
    <w:p w14:paraId="1B114A8E" w14:textId="018A2C78" w:rsidR="00BD5AEE" w:rsidRDefault="00000000">
      <w:pPr>
        <w:numPr>
          <w:ilvl w:val="0"/>
          <w:numId w:val="1"/>
        </w:numPr>
        <w:spacing w:before="105" w:after="105" w:line="360" w:lineRule="auto"/>
      </w:pPr>
      <w:r>
        <w:rPr>
          <w:rFonts w:ascii="source serif 4" w:eastAsia="source serif 4" w:hAnsi="source serif 4" w:cs="source serif 4"/>
          <w:b/>
          <w:color w:val="000000"/>
        </w:rPr>
        <w:t>Integrity</w:t>
      </w:r>
      <w:r>
        <w:rPr>
          <w:rFonts w:ascii="source serif 4" w:eastAsia="source serif 4" w:hAnsi="source serif 4" w:cs="source serif 4"/>
          <w:color w:val="000000"/>
        </w:rPr>
        <w:t xml:space="preserve"> means sensor values, commands, logs, firmware, and alarms should not be altered without detection.</w:t>
      </w:r>
    </w:p>
    <w:p w14:paraId="0165F258" w14:textId="474D57B0" w:rsidR="00BD5AEE" w:rsidRDefault="00000000">
      <w:pPr>
        <w:numPr>
          <w:ilvl w:val="0"/>
          <w:numId w:val="1"/>
        </w:numPr>
        <w:spacing w:before="105" w:after="105" w:line="360" w:lineRule="auto"/>
      </w:pPr>
      <w:r>
        <w:rPr>
          <w:rFonts w:ascii="source serif 4" w:eastAsia="source serif 4" w:hAnsi="source serif 4" w:cs="source serif 4"/>
          <w:b/>
          <w:color w:val="000000"/>
        </w:rPr>
        <w:lastRenderedPageBreak/>
        <w:t>Availability</w:t>
      </w:r>
      <w:r>
        <w:rPr>
          <w:rFonts w:ascii="source serif 4" w:eastAsia="source serif 4" w:hAnsi="source serif 4" w:cs="source serif 4"/>
          <w:color w:val="000000"/>
        </w:rPr>
        <w:t xml:space="preserve"> means industrial processes, communication links, and control systems should remain usable and resilient even during failures or attack</w:t>
      </w:r>
      <w:r w:rsidR="00E73FBF">
        <w:rPr>
          <w:rFonts w:ascii="source serif 4" w:eastAsia="source serif 4" w:hAnsi="source serif 4" w:cs="source serif 4"/>
          <w:color w:val="000000"/>
        </w:rPr>
        <w:t>s.</w:t>
      </w:r>
    </w:p>
    <w:p w14:paraId="3F0EDBC2" w14:textId="682BE848" w:rsidR="00BD5AEE" w:rsidRDefault="00000000">
      <w:pPr>
        <w:spacing w:after="210" w:line="360" w:lineRule="auto"/>
      </w:pPr>
      <w:r>
        <w:rPr>
          <w:rFonts w:ascii="source serif 4" w:eastAsia="source serif 4" w:hAnsi="source serif 4" w:cs="source serif 4"/>
          <w:color w:val="000000"/>
        </w:rPr>
        <w:t>In IIoT, integrity and availability often receive special attention because false readings or unavailable control channels can directly affect safety and production continuity.</w:t>
      </w:r>
    </w:p>
    <w:p w14:paraId="38116763" w14:textId="77777777" w:rsidR="00BD5AEE" w:rsidRPr="00E73FBF" w:rsidRDefault="00000000">
      <w:pPr>
        <w:spacing w:before="315" w:after="105" w:line="360" w:lineRule="auto"/>
        <w:ind w:left="-30"/>
        <w:rPr>
          <w:sz w:val="28"/>
          <w:szCs w:val="32"/>
          <w:u w:val="single"/>
        </w:rPr>
      </w:pPr>
      <w:bookmarkStart w:id="4" w:name="security_vulnerabilities"/>
      <w:r w:rsidRPr="00E73FBF">
        <w:rPr>
          <w:rFonts w:ascii="source serif 4" w:eastAsia="source serif 4" w:hAnsi="source serif 4" w:cs="source serif 4"/>
          <w:b/>
          <w:color w:val="000000"/>
          <w:sz w:val="30"/>
          <w:szCs w:val="28"/>
          <w:u w:val="single"/>
        </w:rPr>
        <w:t>Security Vulnerabilities</w:t>
      </w:r>
      <w:bookmarkEnd w:id="4"/>
    </w:p>
    <w:p w14:paraId="0EB811F7" w14:textId="61306876" w:rsidR="00BD5AEE" w:rsidRDefault="00000000">
      <w:pPr>
        <w:spacing w:after="210" w:line="360" w:lineRule="auto"/>
      </w:pPr>
      <w:r>
        <w:rPr>
          <w:rFonts w:ascii="source serif 4" w:eastAsia="source serif 4" w:hAnsi="source serif 4" w:cs="source serif 4"/>
          <w:color w:val="000000"/>
        </w:rPr>
        <w:t>A strong assessment should identify not only common cyber threats but also the industrial conditions that make them dangerous.</w:t>
      </w:r>
    </w:p>
    <w:p w14:paraId="4695F1C5" w14:textId="23CB43D0" w:rsidR="00BD5AEE" w:rsidRDefault="00E73FBF">
      <w:pPr>
        <w:spacing w:before="315" w:after="105" w:line="360" w:lineRule="auto"/>
        <w:ind w:left="-30"/>
      </w:pPr>
      <w:bookmarkStart w:id="5" w:name="weak_authentication"/>
      <w:r>
        <w:rPr>
          <w:rFonts w:ascii="source serif 4" w:eastAsia="source serif 4" w:hAnsi="source serif 4" w:cs="source serif 4"/>
          <w:b/>
          <w:color w:val="000000"/>
          <w:sz w:val="24"/>
        </w:rPr>
        <w:t>1.</w:t>
      </w:r>
      <w:r w:rsidR="00000000">
        <w:rPr>
          <w:rFonts w:ascii="source serif 4" w:eastAsia="source serif 4" w:hAnsi="source serif 4" w:cs="source serif 4"/>
          <w:b/>
          <w:color w:val="000000"/>
          <w:sz w:val="24"/>
        </w:rPr>
        <w:t>Weak Authentication</w:t>
      </w:r>
      <w:bookmarkEnd w:id="5"/>
    </w:p>
    <w:p w14:paraId="0168DF86" w14:textId="0E5C0235" w:rsidR="00BD5AEE" w:rsidRDefault="00000000">
      <w:pPr>
        <w:spacing w:after="210" w:line="360" w:lineRule="auto"/>
      </w:pPr>
      <w:r>
        <w:rPr>
          <w:rFonts w:ascii="source serif 4" w:eastAsia="source serif 4" w:hAnsi="source serif 4" w:cs="source serif 4"/>
          <w:color w:val="000000"/>
        </w:rPr>
        <w:t>Weak authentication allows unauthorized users, devices, or applications to enter the IIoT environment by exploiting default passwords, reused credentials, shared accounts, or poorly managed remote access. In OT systems, shared engineering credentials and vendor access accounts are especially risky because they reduce accountability and can give broad control over critical assets.</w:t>
      </w:r>
    </w:p>
    <w:p w14:paraId="2F53B9B3" w14:textId="2762F592" w:rsidR="00BD5AEE" w:rsidRDefault="00E73FBF">
      <w:pPr>
        <w:spacing w:before="315" w:after="105" w:line="360" w:lineRule="auto"/>
        <w:ind w:left="-30"/>
      </w:pPr>
      <w:bookmarkStart w:id="6" w:name="insecure_firmware"/>
      <w:r>
        <w:rPr>
          <w:rFonts w:ascii="source serif 4" w:eastAsia="source serif 4" w:hAnsi="source serif 4" w:cs="source serif 4"/>
          <w:b/>
          <w:color w:val="000000"/>
          <w:sz w:val="24"/>
        </w:rPr>
        <w:t>2.</w:t>
      </w:r>
      <w:r w:rsidR="00000000">
        <w:rPr>
          <w:rFonts w:ascii="source serif 4" w:eastAsia="source serif 4" w:hAnsi="source serif 4" w:cs="source serif 4"/>
          <w:b/>
          <w:color w:val="000000"/>
          <w:sz w:val="24"/>
        </w:rPr>
        <w:t>Insecure Firmware</w:t>
      </w:r>
      <w:bookmarkEnd w:id="6"/>
    </w:p>
    <w:p w14:paraId="3A07CD56" w14:textId="371376F0" w:rsidR="00BD5AEE" w:rsidRDefault="00000000">
      <w:pPr>
        <w:spacing w:after="210" w:line="360" w:lineRule="auto"/>
      </w:pPr>
      <w:r>
        <w:rPr>
          <w:rFonts w:ascii="source serif 4" w:eastAsia="source serif 4" w:hAnsi="source serif 4" w:cs="source serif 4"/>
          <w:color w:val="000000"/>
        </w:rPr>
        <w:t>Firmware is a major trust anchor in IIoT devices, but it is often poorly protected in low-cost or legacy systems. If firmware updates are unsigned, unverified, or distributed without integrity checks, attackers may install malicious code or tamper with device behavior while remaining difficult to detect.</w:t>
      </w:r>
    </w:p>
    <w:p w14:paraId="585D4242" w14:textId="62BF7225" w:rsidR="00BD5AEE" w:rsidRDefault="00E73FBF">
      <w:pPr>
        <w:spacing w:before="315" w:after="105" w:line="360" w:lineRule="auto"/>
        <w:ind w:left="-30"/>
      </w:pPr>
      <w:bookmarkStart w:id="7" w:name="unencrypted_communication"/>
      <w:r>
        <w:rPr>
          <w:rFonts w:ascii="source serif 4" w:eastAsia="source serif 4" w:hAnsi="source serif 4" w:cs="source serif 4"/>
          <w:b/>
          <w:color w:val="000000"/>
          <w:sz w:val="24"/>
        </w:rPr>
        <w:t>3.</w:t>
      </w:r>
      <w:r w:rsidR="00000000">
        <w:rPr>
          <w:rFonts w:ascii="source serif 4" w:eastAsia="source serif 4" w:hAnsi="source serif 4" w:cs="source serif 4"/>
          <w:b/>
          <w:color w:val="000000"/>
          <w:sz w:val="24"/>
        </w:rPr>
        <w:t>Unencrypted Communication</w:t>
      </w:r>
      <w:bookmarkEnd w:id="7"/>
    </w:p>
    <w:p w14:paraId="0CC3B040" w14:textId="6077B9C0" w:rsidR="00BD5AEE" w:rsidRDefault="00000000">
      <w:pPr>
        <w:spacing w:after="210" w:line="360" w:lineRule="auto"/>
      </w:pPr>
      <w:r>
        <w:rPr>
          <w:rFonts w:ascii="source serif 4" w:eastAsia="source serif 4" w:hAnsi="source serif 4" w:cs="source serif 4"/>
          <w:color w:val="000000"/>
        </w:rPr>
        <w:t>When data is sent in plaintext, attackers can intercept telemetry, credentials, commands, and maintenance traffic on internal or external networks. This creates direct exposure to eavesdropping, manipulation, session hijacking, and intelligence gathering by adversaries.</w:t>
      </w:r>
    </w:p>
    <w:p w14:paraId="4A4D4BA9" w14:textId="1B5856A6" w:rsidR="00BD5AEE" w:rsidRDefault="00E73FBF">
      <w:pPr>
        <w:spacing w:before="315" w:after="105" w:line="360" w:lineRule="auto"/>
        <w:ind w:left="-30"/>
      </w:pPr>
      <w:bookmarkStart w:id="8" w:name="ddos_attacks"/>
      <w:r>
        <w:rPr>
          <w:rFonts w:ascii="source serif 4" w:eastAsia="source serif 4" w:hAnsi="source serif 4" w:cs="source serif 4"/>
          <w:b/>
          <w:color w:val="000000"/>
          <w:sz w:val="24"/>
        </w:rPr>
        <w:t>4.</w:t>
      </w:r>
      <w:r w:rsidR="00000000">
        <w:rPr>
          <w:rFonts w:ascii="source serif 4" w:eastAsia="source serif 4" w:hAnsi="source serif 4" w:cs="source serif 4"/>
          <w:b/>
          <w:color w:val="000000"/>
          <w:sz w:val="24"/>
        </w:rPr>
        <w:t>DDoS Attacks</w:t>
      </w:r>
      <w:bookmarkEnd w:id="8"/>
    </w:p>
    <w:p w14:paraId="125C6605" w14:textId="4FE47CD1" w:rsidR="00BD5AEE" w:rsidRDefault="00000000">
      <w:pPr>
        <w:spacing w:after="210" w:line="360" w:lineRule="auto"/>
      </w:pPr>
      <w:r>
        <w:rPr>
          <w:rFonts w:ascii="source serif 4" w:eastAsia="source serif 4" w:hAnsi="source serif 4" w:cs="source serif 4"/>
          <w:color w:val="000000"/>
        </w:rPr>
        <w:t>Distributed denial-of-service attacks target the availability part of the CIA triad by overwhelming gateways, brokers, APIs, or cloud endpoints with excessive traffic. In IIoT, even partial service disruption can delay alarms, interrupt monitoring, or block legitimate device communication.</w:t>
      </w:r>
    </w:p>
    <w:p w14:paraId="7DC27633" w14:textId="64EA1DEC" w:rsidR="00BD5AEE" w:rsidRDefault="00E73FBF">
      <w:pPr>
        <w:spacing w:before="315" w:after="105" w:line="360" w:lineRule="auto"/>
        <w:ind w:left="-30"/>
      </w:pPr>
      <w:bookmarkStart w:id="9" w:name="man_in_the_middle_attacks"/>
      <w:r>
        <w:rPr>
          <w:rFonts w:ascii="source serif 4" w:eastAsia="source serif 4" w:hAnsi="source serif 4" w:cs="source serif 4"/>
          <w:b/>
          <w:color w:val="000000"/>
          <w:sz w:val="24"/>
        </w:rPr>
        <w:t>5.</w:t>
      </w:r>
      <w:r w:rsidR="00000000">
        <w:rPr>
          <w:rFonts w:ascii="source serif 4" w:eastAsia="source serif 4" w:hAnsi="source serif 4" w:cs="source serif 4"/>
          <w:b/>
          <w:color w:val="000000"/>
          <w:sz w:val="24"/>
        </w:rPr>
        <w:t>Man-in-the-Middle Attacks</w:t>
      </w:r>
      <w:bookmarkEnd w:id="9"/>
    </w:p>
    <w:p w14:paraId="283D7F0F" w14:textId="79520BCD" w:rsidR="00BD5AEE" w:rsidRDefault="00000000">
      <w:pPr>
        <w:spacing w:after="210" w:line="360" w:lineRule="auto"/>
      </w:pPr>
      <w:r>
        <w:rPr>
          <w:rFonts w:ascii="source serif 4" w:eastAsia="source serif 4" w:hAnsi="source serif 4" w:cs="source serif 4"/>
          <w:color w:val="000000"/>
        </w:rPr>
        <w:lastRenderedPageBreak/>
        <w:t>A man-in-the-middle attacker places itself between communicating systems to intercept, modify, or relay data without authorization. MITM attacks become more likely when certificate validation is weak, encryption is absent, or devices trust insecure networks during onboarding or remote access.</w:t>
      </w:r>
    </w:p>
    <w:p w14:paraId="5A403817" w14:textId="5CB99A2A" w:rsidR="00BD5AEE" w:rsidRDefault="00E73FBF">
      <w:pPr>
        <w:spacing w:before="315" w:after="105" w:line="360" w:lineRule="auto"/>
        <w:ind w:left="-30"/>
      </w:pPr>
      <w:bookmarkStart w:id="10" w:name="replay_attacks"/>
      <w:r>
        <w:rPr>
          <w:rFonts w:ascii="source serif 4" w:eastAsia="source serif 4" w:hAnsi="source serif 4" w:cs="source serif 4"/>
          <w:b/>
          <w:color w:val="000000"/>
          <w:sz w:val="24"/>
        </w:rPr>
        <w:t>6.</w:t>
      </w:r>
      <w:r w:rsidR="00000000">
        <w:rPr>
          <w:rFonts w:ascii="source serif 4" w:eastAsia="source serif 4" w:hAnsi="source serif 4" w:cs="source serif 4"/>
          <w:b/>
          <w:color w:val="000000"/>
          <w:sz w:val="24"/>
        </w:rPr>
        <w:t>Replay Attacks</w:t>
      </w:r>
      <w:bookmarkEnd w:id="10"/>
    </w:p>
    <w:p w14:paraId="6CB4BBCB" w14:textId="59391024" w:rsidR="00BD5AEE" w:rsidRDefault="00000000">
      <w:pPr>
        <w:spacing w:after="210" w:line="360" w:lineRule="auto"/>
      </w:pPr>
      <w:r>
        <w:rPr>
          <w:rFonts w:ascii="source serif 4" w:eastAsia="source serif 4" w:hAnsi="source serif 4" w:cs="source serif 4"/>
          <w:color w:val="000000"/>
        </w:rPr>
        <w:t>Replay attacks occur when valid communication is captured and resent later to trigger unauthorized behavior. This is dangerous in IIoT because replayed sensor readings or control messages can produce false process states or repeated actions even when the attacker cannot fully decrypt the original traffic.</w:t>
      </w:r>
    </w:p>
    <w:p w14:paraId="6C955B19" w14:textId="459EA7BC" w:rsidR="00BD5AEE" w:rsidRDefault="00E73FBF">
      <w:pPr>
        <w:spacing w:before="315" w:after="105" w:line="360" w:lineRule="auto"/>
        <w:ind w:left="-30"/>
      </w:pPr>
      <w:bookmarkStart w:id="11" w:name="malware_and_ransomware"/>
      <w:r>
        <w:rPr>
          <w:rFonts w:ascii="source serif 4" w:eastAsia="source serif 4" w:hAnsi="source serif 4" w:cs="source serif 4"/>
          <w:b/>
          <w:color w:val="000000"/>
          <w:sz w:val="24"/>
        </w:rPr>
        <w:t>7.</w:t>
      </w:r>
      <w:r w:rsidR="00000000">
        <w:rPr>
          <w:rFonts w:ascii="source serif 4" w:eastAsia="source serif 4" w:hAnsi="source serif 4" w:cs="source serif 4"/>
          <w:b/>
          <w:color w:val="000000"/>
          <w:sz w:val="24"/>
        </w:rPr>
        <w:t>Malware and Ransomware</w:t>
      </w:r>
      <w:bookmarkEnd w:id="11"/>
    </w:p>
    <w:p w14:paraId="38D4ADC4" w14:textId="5B9B9EA6" w:rsidR="00BD5AEE" w:rsidRDefault="00000000">
      <w:pPr>
        <w:spacing w:after="210" w:line="360" w:lineRule="auto"/>
      </w:pPr>
      <w:r>
        <w:rPr>
          <w:rFonts w:ascii="source serif 4" w:eastAsia="source serif 4" w:hAnsi="source serif 4" w:cs="source serif 4"/>
          <w:color w:val="000000"/>
        </w:rPr>
        <w:t>NIST OT guidance identifies malware as a major threat to industrial systems. Malware may spread through engineering workstations, maintenance laptops, third-party software, removable media, or remote access channels, while ransomware may disrupt industrial operations by encrypting business systems, plant servers, or supporting infrastructure.</w:t>
      </w:r>
    </w:p>
    <w:p w14:paraId="521B1065" w14:textId="72E4A6F4" w:rsidR="00BD5AEE" w:rsidRDefault="00E73FBF">
      <w:pPr>
        <w:spacing w:before="315" w:after="105" w:line="360" w:lineRule="auto"/>
        <w:ind w:left="-30"/>
      </w:pPr>
      <w:bookmarkStart w:id="12" w:name="insider_threats"/>
      <w:r>
        <w:rPr>
          <w:rFonts w:ascii="source serif 4" w:eastAsia="source serif 4" w:hAnsi="source serif 4" w:cs="source serif 4"/>
          <w:b/>
          <w:color w:val="000000"/>
          <w:sz w:val="24"/>
        </w:rPr>
        <w:t>8.</w:t>
      </w:r>
      <w:r w:rsidR="00000000">
        <w:rPr>
          <w:rFonts w:ascii="source serif 4" w:eastAsia="source serif 4" w:hAnsi="source serif 4" w:cs="source serif 4"/>
          <w:b/>
          <w:color w:val="000000"/>
          <w:sz w:val="24"/>
        </w:rPr>
        <w:t>Insider Threats</w:t>
      </w:r>
      <w:bookmarkEnd w:id="12"/>
    </w:p>
    <w:p w14:paraId="7350C483" w14:textId="267DCB67" w:rsidR="00BD5AEE" w:rsidRDefault="00000000">
      <w:pPr>
        <w:spacing w:after="210" w:line="360" w:lineRule="auto"/>
      </w:pPr>
      <w:r>
        <w:rPr>
          <w:rFonts w:ascii="source serif 4" w:eastAsia="source serif 4" w:hAnsi="source serif 4" w:cs="source serif 4"/>
          <w:color w:val="000000"/>
        </w:rPr>
        <w:t>Insider threats include intentional abuse and accidental mistakes by employees, contractors, integrators, or vendors with legitimate access. In IIoT, insiders may misconfigure gateways, disable protections for convenience, leak credentials, or introduce unauthorized hardware and software into the plant environment.</w:t>
      </w:r>
    </w:p>
    <w:p w14:paraId="7C8FBCEA" w14:textId="3546DA5B" w:rsidR="00BD5AEE" w:rsidRDefault="00E73FBF">
      <w:pPr>
        <w:spacing w:before="315" w:after="105" w:line="360" w:lineRule="auto"/>
        <w:ind w:left="-30"/>
      </w:pPr>
      <w:bookmarkStart w:id="13" w:name="additional_causes_of_vulnerability"/>
      <w:r>
        <w:rPr>
          <w:rFonts w:ascii="source serif 4" w:eastAsia="source serif 4" w:hAnsi="source serif 4" w:cs="source serif 4"/>
          <w:b/>
          <w:color w:val="000000"/>
          <w:sz w:val="24"/>
        </w:rPr>
        <w:t>9.</w:t>
      </w:r>
      <w:r w:rsidR="00000000">
        <w:rPr>
          <w:rFonts w:ascii="source serif 4" w:eastAsia="source serif 4" w:hAnsi="source serif 4" w:cs="source serif 4"/>
          <w:b/>
          <w:color w:val="000000"/>
          <w:sz w:val="24"/>
        </w:rPr>
        <w:t>Additional Causes of Vulnerability</w:t>
      </w:r>
      <w:bookmarkEnd w:id="13"/>
    </w:p>
    <w:p w14:paraId="314F496E" w14:textId="7C2224C9" w:rsidR="00BD5AEE" w:rsidRDefault="00000000">
      <w:pPr>
        <w:spacing w:after="210" w:line="360" w:lineRule="auto"/>
      </w:pPr>
      <w:r>
        <w:rPr>
          <w:rFonts w:ascii="source serif 4" w:eastAsia="source serif 4" w:hAnsi="source serif 4" w:cs="source serif 4"/>
          <w:color w:val="000000"/>
        </w:rPr>
        <w:t>Several underlying conditions increase the chance that the above threats will succeed.</w:t>
      </w:r>
    </w:p>
    <w:p w14:paraId="49C0D481" w14:textId="33AB7F97" w:rsidR="00BD5AEE" w:rsidRDefault="00000000">
      <w:pPr>
        <w:numPr>
          <w:ilvl w:val="0"/>
          <w:numId w:val="2"/>
        </w:numPr>
        <w:spacing w:before="105" w:after="105" w:line="360" w:lineRule="auto"/>
      </w:pPr>
      <w:r>
        <w:rPr>
          <w:rFonts w:ascii="source serif 4" w:eastAsia="source serif 4" w:hAnsi="source serif 4" w:cs="source serif 4"/>
          <w:color w:val="000000"/>
        </w:rPr>
        <w:t>Legacy devices with weak built-in security controls.</w:t>
      </w:r>
    </w:p>
    <w:p w14:paraId="05A54703" w14:textId="44EA3518" w:rsidR="00BD5AEE" w:rsidRDefault="00000000">
      <w:pPr>
        <w:numPr>
          <w:ilvl w:val="0"/>
          <w:numId w:val="2"/>
        </w:numPr>
        <w:spacing w:before="105" w:after="105" w:line="360" w:lineRule="auto"/>
      </w:pPr>
      <w:r>
        <w:rPr>
          <w:rFonts w:ascii="source serif 4" w:eastAsia="source serif 4" w:hAnsi="source serif 4" w:cs="source serif 4"/>
          <w:color w:val="000000"/>
        </w:rPr>
        <w:t>Flat networks instead of segmented zones and conduits.</w:t>
      </w:r>
    </w:p>
    <w:p w14:paraId="30A1F204" w14:textId="2C3A8691" w:rsidR="00BD5AEE" w:rsidRDefault="00000000">
      <w:pPr>
        <w:numPr>
          <w:ilvl w:val="0"/>
          <w:numId w:val="2"/>
        </w:numPr>
        <w:spacing w:before="105" w:after="105" w:line="360" w:lineRule="auto"/>
      </w:pPr>
      <w:r>
        <w:rPr>
          <w:rFonts w:ascii="source serif 4" w:eastAsia="source serif 4" w:hAnsi="source serif 4" w:cs="source serif 4"/>
          <w:color w:val="000000"/>
        </w:rPr>
        <w:t>Poor asset visibility and limited log collection.</w:t>
      </w:r>
    </w:p>
    <w:p w14:paraId="4FCE5892" w14:textId="3741FC0C" w:rsidR="00BD5AEE" w:rsidRDefault="00000000">
      <w:pPr>
        <w:numPr>
          <w:ilvl w:val="0"/>
          <w:numId w:val="2"/>
        </w:numPr>
        <w:spacing w:before="105" w:after="105" w:line="360" w:lineRule="auto"/>
      </w:pPr>
      <w:r>
        <w:rPr>
          <w:rFonts w:ascii="source serif 4" w:eastAsia="source serif 4" w:hAnsi="source serif 4" w:cs="source serif 4"/>
          <w:color w:val="000000"/>
        </w:rPr>
        <w:t>Weak patch and vulnerability management for industrial devices.</w:t>
      </w:r>
    </w:p>
    <w:p w14:paraId="3A28C011" w14:textId="796F2682" w:rsidR="00BD5AEE" w:rsidRDefault="00000000">
      <w:pPr>
        <w:numPr>
          <w:ilvl w:val="0"/>
          <w:numId w:val="2"/>
        </w:numPr>
        <w:spacing w:before="105" w:after="105" w:line="360" w:lineRule="auto"/>
      </w:pPr>
      <w:r>
        <w:rPr>
          <w:rFonts w:ascii="source serif 4" w:eastAsia="source serif 4" w:hAnsi="source serif 4" w:cs="source serif 4"/>
          <w:color w:val="000000"/>
        </w:rPr>
        <w:t>Overly permissive vendor or remote maintenance access.</w:t>
      </w:r>
    </w:p>
    <w:p w14:paraId="485D1CA6" w14:textId="77777777" w:rsidR="00BD5AEE" w:rsidRPr="00E73FBF" w:rsidRDefault="00000000">
      <w:pPr>
        <w:spacing w:before="315" w:after="105" w:line="360" w:lineRule="auto"/>
        <w:ind w:left="-30"/>
        <w:rPr>
          <w:sz w:val="32"/>
          <w:szCs w:val="36"/>
          <w:u w:val="single"/>
        </w:rPr>
      </w:pPr>
      <w:bookmarkStart w:id="14" w:name="secure_communication_methods"/>
      <w:r w:rsidRPr="00E73FBF">
        <w:rPr>
          <w:rFonts w:ascii="source serif 4" w:eastAsia="source serif 4" w:hAnsi="source serif 4" w:cs="source serif 4"/>
          <w:b/>
          <w:color w:val="000000"/>
          <w:sz w:val="32"/>
          <w:szCs w:val="30"/>
          <w:u w:val="single"/>
        </w:rPr>
        <w:t>Secure Communication Methods</w:t>
      </w:r>
      <w:bookmarkEnd w:id="14"/>
    </w:p>
    <w:p w14:paraId="3720E94B" w14:textId="47955428" w:rsidR="00BD5AEE" w:rsidRDefault="00000000">
      <w:pPr>
        <w:spacing w:after="210" w:line="360" w:lineRule="auto"/>
      </w:pPr>
      <w:r>
        <w:rPr>
          <w:rFonts w:ascii="source serif 4" w:eastAsia="source serif 4" w:hAnsi="source serif 4" w:cs="source serif 4"/>
          <w:color w:val="000000"/>
        </w:rPr>
        <w:lastRenderedPageBreak/>
        <w:t xml:space="preserve">Secure communication protects the movement of telemetry, commands, updates, and management traffic across IIoT </w:t>
      </w:r>
      <w:proofErr w:type="spellStart"/>
      <w:proofErr w:type="gramStart"/>
      <w:r>
        <w:rPr>
          <w:rFonts w:ascii="source serif 4" w:eastAsia="source serif 4" w:hAnsi="source serif 4" w:cs="source serif 4"/>
          <w:color w:val="000000"/>
        </w:rPr>
        <w:t>systems</w:t>
      </w:r>
      <w:r w:rsidR="00E73FBF">
        <w:rPr>
          <w:rFonts w:ascii="source serif 4" w:eastAsia="source serif 4" w:hAnsi="source serif 4" w:cs="source serif 4"/>
          <w:color w:val="000000"/>
        </w:rPr>
        <w:t>.</w:t>
      </w:r>
      <w:r>
        <w:rPr>
          <w:rFonts w:ascii="source serif 4" w:eastAsia="source serif 4" w:hAnsi="source serif 4" w:cs="source serif 4"/>
          <w:color w:val="000000"/>
        </w:rPr>
        <w:t>The</w:t>
      </w:r>
      <w:proofErr w:type="spellEnd"/>
      <w:proofErr w:type="gramEnd"/>
      <w:r>
        <w:rPr>
          <w:rFonts w:ascii="source serif 4" w:eastAsia="source serif 4" w:hAnsi="source serif 4" w:cs="source serif 4"/>
          <w:color w:val="000000"/>
        </w:rPr>
        <w:t xml:space="preserve"> goal is not only encryption, but also endpoint trust, integrity protection, resilience, and traceability.</w:t>
      </w:r>
    </w:p>
    <w:p w14:paraId="04A2A5AF" w14:textId="77777777" w:rsidR="00BD5AEE" w:rsidRDefault="00000000" w:rsidP="00E73FBF">
      <w:pPr>
        <w:pStyle w:val="ListParagraph"/>
        <w:numPr>
          <w:ilvl w:val="0"/>
          <w:numId w:val="6"/>
        </w:numPr>
        <w:spacing w:before="315" w:after="105" w:line="360" w:lineRule="auto"/>
      </w:pPr>
      <w:bookmarkStart w:id="15" w:name="mqtt_over_tls"/>
      <w:r w:rsidRPr="00E73FBF">
        <w:rPr>
          <w:rFonts w:ascii="source serif 4" w:eastAsia="source serif 4" w:hAnsi="source serif 4" w:cs="source serif 4"/>
          <w:b/>
          <w:color w:val="000000"/>
          <w:sz w:val="24"/>
        </w:rPr>
        <w:t>MQTT over TLS</w:t>
      </w:r>
      <w:bookmarkEnd w:id="15"/>
    </w:p>
    <w:p w14:paraId="6EBAF054" w14:textId="4382B3F3" w:rsidR="00BD5AEE" w:rsidRDefault="00000000" w:rsidP="00E73FBF">
      <w:pPr>
        <w:pStyle w:val="ListParagraph"/>
        <w:spacing w:after="210" w:line="360" w:lineRule="auto"/>
      </w:pPr>
      <w:r w:rsidRPr="00E73FBF">
        <w:rPr>
          <w:rFonts w:ascii="source serif 4" w:eastAsia="source serif 4" w:hAnsi="source serif 4" w:cs="source serif 4"/>
          <w:color w:val="000000"/>
        </w:rPr>
        <w:t>MQTT is widely used in IoT and IIoT because it is lightweight and efficient for publish-subscribe communication. When used over TLS, MQTT gains protection against eavesdropping and tampering in transit, while broker-side authentication and topic authorization help restrict which clients can publish or subscribe to specific data streams.</w:t>
      </w:r>
    </w:p>
    <w:p w14:paraId="14A2CAD8" w14:textId="77777777" w:rsidR="00BD5AEE" w:rsidRDefault="00000000" w:rsidP="00E73FBF">
      <w:pPr>
        <w:pStyle w:val="ListParagraph"/>
        <w:numPr>
          <w:ilvl w:val="0"/>
          <w:numId w:val="6"/>
        </w:numPr>
        <w:spacing w:before="315" w:after="105" w:line="360" w:lineRule="auto"/>
      </w:pPr>
      <w:bookmarkStart w:id="16" w:name="https"/>
      <w:r w:rsidRPr="00E73FBF">
        <w:rPr>
          <w:rFonts w:ascii="source serif 4" w:eastAsia="source serif 4" w:hAnsi="source serif 4" w:cs="source serif 4"/>
          <w:b/>
          <w:color w:val="000000"/>
          <w:sz w:val="24"/>
        </w:rPr>
        <w:t>HTTPS</w:t>
      </w:r>
      <w:bookmarkEnd w:id="16"/>
    </w:p>
    <w:p w14:paraId="444C6B8D" w14:textId="3AF68640" w:rsidR="00BD5AEE" w:rsidRDefault="00000000" w:rsidP="00E73FBF">
      <w:pPr>
        <w:pStyle w:val="ListParagraph"/>
        <w:spacing w:after="210" w:line="360" w:lineRule="auto"/>
      </w:pPr>
      <w:r w:rsidRPr="00E73FBF">
        <w:rPr>
          <w:rFonts w:ascii="source serif 4" w:eastAsia="source serif 4" w:hAnsi="source serif 4" w:cs="source serif 4"/>
          <w:color w:val="000000"/>
        </w:rPr>
        <w:t>HTTPS is useful for device management panels, APIs, dashboards, firmware delivery, and cloud integration points. It provides transport encryption and server authentication when implemented with valid certificates and proper configuration.</w:t>
      </w:r>
    </w:p>
    <w:p w14:paraId="42C6EB12" w14:textId="77777777" w:rsidR="00BD5AEE" w:rsidRDefault="00000000" w:rsidP="00E73FBF">
      <w:pPr>
        <w:pStyle w:val="ListParagraph"/>
        <w:numPr>
          <w:ilvl w:val="0"/>
          <w:numId w:val="6"/>
        </w:numPr>
        <w:spacing w:before="315" w:after="105" w:line="360" w:lineRule="auto"/>
      </w:pPr>
      <w:bookmarkStart w:id="17" w:name="vpn"/>
      <w:r w:rsidRPr="00E73FBF">
        <w:rPr>
          <w:rFonts w:ascii="source serif 4" w:eastAsia="source serif 4" w:hAnsi="source serif 4" w:cs="source serif 4"/>
          <w:b/>
          <w:color w:val="000000"/>
          <w:sz w:val="24"/>
        </w:rPr>
        <w:t>VPN</w:t>
      </w:r>
      <w:bookmarkEnd w:id="17"/>
    </w:p>
    <w:p w14:paraId="6434EC20" w14:textId="0B2A61AC" w:rsidR="00BD5AEE" w:rsidRDefault="00000000" w:rsidP="00E73FBF">
      <w:pPr>
        <w:pStyle w:val="ListParagraph"/>
        <w:spacing w:after="210" w:line="360" w:lineRule="auto"/>
      </w:pPr>
      <w:r w:rsidRPr="00E73FBF">
        <w:rPr>
          <w:rFonts w:ascii="source serif 4" w:eastAsia="source serif 4" w:hAnsi="source serif 4" w:cs="source serif 4"/>
          <w:color w:val="000000"/>
        </w:rPr>
        <w:t>A virtual private network creates an encrypted tunnel for remote maintenance, site-to-site communication, or access to plant services across untrusted networks. VPNs improve confidentiality and integrity, but they should still be paired with strong identity checks, network segmentation, logging, and session control because a VPN alone does not guarantee least privilege.</w:t>
      </w:r>
    </w:p>
    <w:p w14:paraId="5D53789E" w14:textId="77777777" w:rsidR="00BD5AEE" w:rsidRDefault="00000000" w:rsidP="00E73FBF">
      <w:pPr>
        <w:pStyle w:val="ListParagraph"/>
        <w:numPr>
          <w:ilvl w:val="0"/>
          <w:numId w:val="6"/>
        </w:numPr>
        <w:spacing w:before="315" w:after="105" w:line="360" w:lineRule="auto"/>
      </w:pPr>
      <w:bookmarkStart w:id="18" w:name="opc_ua_security"/>
      <w:r w:rsidRPr="00E73FBF">
        <w:rPr>
          <w:rFonts w:ascii="source serif 4" w:eastAsia="source serif 4" w:hAnsi="source serif 4" w:cs="source serif 4"/>
          <w:b/>
          <w:color w:val="000000"/>
          <w:sz w:val="24"/>
        </w:rPr>
        <w:t>OPC UA Security</w:t>
      </w:r>
      <w:bookmarkEnd w:id="18"/>
    </w:p>
    <w:p w14:paraId="66471BF0" w14:textId="01F4E0A1" w:rsidR="00BD5AEE" w:rsidRDefault="00000000" w:rsidP="00E73FBF">
      <w:pPr>
        <w:pStyle w:val="ListParagraph"/>
        <w:spacing w:after="210" w:line="360" w:lineRule="auto"/>
      </w:pPr>
      <w:r w:rsidRPr="00E73FBF">
        <w:rPr>
          <w:rFonts w:ascii="source serif 4" w:eastAsia="source serif 4" w:hAnsi="source serif 4" w:cs="source serif 4"/>
          <w:color w:val="000000"/>
        </w:rPr>
        <w:t>OPC UA is an important industrial communication technology because it supports interoperable data exchange with built-in security capabilities, including application authentication, signing, encryption, and certificate-based trust models. For this reason, OPC UA is often preferred over older industrial protocols that lack strong native security properties.</w:t>
      </w:r>
    </w:p>
    <w:p w14:paraId="5107BE86" w14:textId="77777777" w:rsidR="00BD5AEE" w:rsidRDefault="00000000" w:rsidP="00E73FBF">
      <w:pPr>
        <w:pStyle w:val="ListParagraph"/>
        <w:numPr>
          <w:ilvl w:val="0"/>
          <w:numId w:val="6"/>
        </w:numPr>
        <w:spacing w:before="315" w:after="105" w:line="360" w:lineRule="auto"/>
      </w:pPr>
      <w:bookmarkStart w:id="19" w:name="dtls_for_constrained_devices"/>
      <w:r w:rsidRPr="00E73FBF">
        <w:rPr>
          <w:rFonts w:ascii="source serif 4" w:eastAsia="source serif 4" w:hAnsi="source serif 4" w:cs="source serif 4"/>
          <w:b/>
          <w:color w:val="000000"/>
          <w:sz w:val="24"/>
        </w:rPr>
        <w:t>DTLS for Constrained Devices</w:t>
      </w:r>
      <w:bookmarkEnd w:id="19"/>
    </w:p>
    <w:p w14:paraId="3124E995" w14:textId="204EB08E" w:rsidR="00BD5AEE" w:rsidRDefault="00000000" w:rsidP="00E73FBF">
      <w:pPr>
        <w:pStyle w:val="ListParagraph"/>
        <w:spacing w:after="210" w:line="360" w:lineRule="auto"/>
      </w:pPr>
      <w:r w:rsidRPr="00E73FBF">
        <w:rPr>
          <w:rFonts w:ascii="source serif 4" w:eastAsia="source serif 4" w:hAnsi="source serif 4" w:cs="source serif 4"/>
          <w:color w:val="000000"/>
        </w:rPr>
        <w:t xml:space="preserve">Datagram Transport Layer Security is suitable for constrained or UDP-based environments where TLS-style protection is needed but connection conditions differ from standard web </w:t>
      </w:r>
      <w:proofErr w:type="spellStart"/>
      <w:proofErr w:type="gramStart"/>
      <w:r w:rsidRPr="00E73FBF">
        <w:rPr>
          <w:rFonts w:ascii="source serif 4" w:eastAsia="source serif 4" w:hAnsi="source serif 4" w:cs="source serif 4"/>
          <w:color w:val="000000"/>
        </w:rPr>
        <w:t>traffic</w:t>
      </w:r>
      <w:r w:rsidR="00E73FBF">
        <w:rPr>
          <w:rFonts w:ascii="source serif 4" w:eastAsia="source serif 4" w:hAnsi="source serif 4" w:cs="source serif 4"/>
          <w:color w:val="000000"/>
        </w:rPr>
        <w:t>.</w:t>
      </w:r>
      <w:r w:rsidRPr="00E73FBF">
        <w:rPr>
          <w:rFonts w:ascii="source serif 4" w:eastAsia="source serif 4" w:hAnsi="source serif 4" w:cs="source serif 4"/>
          <w:color w:val="000000"/>
        </w:rPr>
        <w:t>It</w:t>
      </w:r>
      <w:proofErr w:type="spellEnd"/>
      <w:proofErr w:type="gramEnd"/>
      <w:r w:rsidRPr="00E73FBF">
        <w:rPr>
          <w:rFonts w:ascii="source serif 4" w:eastAsia="source serif 4" w:hAnsi="source serif 4" w:cs="source serif 4"/>
          <w:color w:val="000000"/>
        </w:rPr>
        <w:t xml:space="preserve"> is relevant for lightweight device communication where reliability, performance, and resource limits must be balanced against security needs.</w:t>
      </w:r>
    </w:p>
    <w:p w14:paraId="7021B6DE" w14:textId="77777777" w:rsidR="00BD5AEE" w:rsidRPr="00E73FBF" w:rsidRDefault="00000000">
      <w:pPr>
        <w:spacing w:before="315" w:after="105" w:line="360" w:lineRule="auto"/>
        <w:ind w:left="-30"/>
        <w:rPr>
          <w:sz w:val="32"/>
          <w:szCs w:val="36"/>
          <w:u w:val="single"/>
        </w:rPr>
      </w:pPr>
      <w:bookmarkStart w:id="20" w:name="authentication_methods"/>
      <w:r w:rsidRPr="00E73FBF">
        <w:rPr>
          <w:rFonts w:ascii="source serif 4" w:eastAsia="source serif 4" w:hAnsi="source serif 4" w:cs="source serif 4"/>
          <w:b/>
          <w:color w:val="000000"/>
          <w:sz w:val="32"/>
          <w:szCs w:val="30"/>
          <w:u w:val="single"/>
        </w:rPr>
        <w:t>Authentication Methods</w:t>
      </w:r>
      <w:bookmarkEnd w:id="20"/>
    </w:p>
    <w:p w14:paraId="58715643" w14:textId="5C492B5C" w:rsidR="00BD5AEE" w:rsidRDefault="00000000">
      <w:pPr>
        <w:spacing w:after="210" w:line="360" w:lineRule="auto"/>
      </w:pPr>
      <w:r>
        <w:rPr>
          <w:rFonts w:ascii="source serif 4" w:eastAsia="source serif 4" w:hAnsi="source serif 4" w:cs="source serif 4"/>
          <w:color w:val="000000"/>
        </w:rPr>
        <w:t>Authentication verifies the identity of users, devices, gateways, and services before they are allowed to participate in the IIoT system. Strong authentication reduces unauthorized access, improves accountability, and supports secure automation.</w:t>
      </w:r>
    </w:p>
    <w:p w14:paraId="17E89F97" w14:textId="77777777" w:rsidR="0060006C" w:rsidRPr="0060006C" w:rsidRDefault="00000000" w:rsidP="0060006C">
      <w:pPr>
        <w:pStyle w:val="ListParagraph"/>
        <w:numPr>
          <w:ilvl w:val="0"/>
          <w:numId w:val="6"/>
        </w:numPr>
        <w:spacing w:before="315" w:after="105" w:line="360" w:lineRule="auto"/>
        <w:jc w:val="both"/>
      </w:pPr>
      <w:bookmarkStart w:id="21" w:name="password_based_authentication"/>
      <w:r w:rsidRPr="0060006C">
        <w:rPr>
          <w:rFonts w:ascii="source serif 4" w:eastAsia="source serif 4" w:hAnsi="source serif 4" w:cs="source serif 4"/>
          <w:b/>
          <w:color w:val="000000"/>
          <w:sz w:val="24"/>
        </w:rPr>
        <w:lastRenderedPageBreak/>
        <w:t>Password-Based Authentication</w:t>
      </w:r>
      <w:bookmarkEnd w:id="21"/>
    </w:p>
    <w:p w14:paraId="21497E48" w14:textId="5DEE3EB5" w:rsidR="00BD5AEE" w:rsidRDefault="00000000" w:rsidP="0060006C">
      <w:pPr>
        <w:pStyle w:val="ListParagraph"/>
        <w:spacing w:before="315" w:after="105" w:line="360" w:lineRule="auto"/>
        <w:jc w:val="both"/>
        <w:rPr>
          <w:rFonts w:ascii="source serif 4" w:eastAsia="source serif 4" w:hAnsi="source serif 4" w:cs="source serif 4"/>
          <w:color w:val="000000"/>
        </w:rPr>
      </w:pPr>
      <w:r w:rsidRPr="0060006C">
        <w:rPr>
          <w:rFonts w:ascii="source serif 4" w:eastAsia="source serif 4" w:hAnsi="source serif 4" w:cs="source serif 4"/>
          <w:color w:val="000000"/>
        </w:rPr>
        <w:t>Passwords are still common in local configuration interfaces and operator accounts, but they are the weakest method when used alone. Shared credentials, predictable passwords, and lack of rotation make password-only authentication unsuitable for high-risk industrial access paths.</w:t>
      </w:r>
    </w:p>
    <w:p w14:paraId="1F60018D" w14:textId="77777777" w:rsidR="0060006C" w:rsidRDefault="0060006C" w:rsidP="0060006C">
      <w:pPr>
        <w:pStyle w:val="ListParagraph"/>
        <w:spacing w:before="315" w:after="105" w:line="360" w:lineRule="auto"/>
        <w:jc w:val="both"/>
      </w:pPr>
    </w:p>
    <w:p w14:paraId="1B7E41B0" w14:textId="77777777" w:rsidR="00BD5AEE" w:rsidRDefault="00000000" w:rsidP="0060006C">
      <w:pPr>
        <w:pStyle w:val="ListParagraph"/>
        <w:numPr>
          <w:ilvl w:val="0"/>
          <w:numId w:val="6"/>
        </w:numPr>
        <w:spacing w:before="315" w:after="105" w:line="360" w:lineRule="auto"/>
        <w:jc w:val="both"/>
      </w:pPr>
      <w:bookmarkStart w:id="22" w:name="multi_factor_authentication"/>
      <w:r w:rsidRPr="0060006C">
        <w:rPr>
          <w:rFonts w:ascii="source serif 4" w:eastAsia="source serif 4" w:hAnsi="source serif 4" w:cs="source serif 4"/>
          <w:b/>
          <w:color w:val="000000"/>
          <w:sz w:val="24"/>
        </w:rPr>
        <w:t>Multi-Factor Authentication</w:t>
      </w:r>
      <w:bookmarkEnd w:id="22"/>
    </w:p>
    <w:p w14:paraId="55AAB2E3" w14:textId="6C1CBD38" w:rsidR="00BD5AEE" w:rsidRDefault="00000000" w:rsidP="0060006C">
      <w:pPr>
        <w:pStyle w:val="ListParagraph"/>
        <w:spacing w:after="210" w:line="360" w:lineRule="auto"/>
        <w:jc w:val="both"/>
      </w:pPr>
      <w:r w:rsidRPr="0060006C">
        <w:rPr>
          <w:rFonts w:ascii="source serif 4" w:eastAsia="source serif 4" w:hAnsi="source serif 4" w:cs="source serif 4"/>
          <w:color w:val="000000"/>
        </w:rPr>
        <w:t>Multi-factor authentication combines two or more proof types, such as a password plus a token, approval app, or hardware key. It is especially important for remote access, administrative accounts, and vendor sessions because those paths are common targets for compromise.</w:t>
      </w:r>
    </w:p>
    <w:p w14:paraId="109D7FEA" w14:textId="77777777" w:rsidR="00BD5AEE" w:rsidRDefault="00000000" w:rsidP="0060006C">
      <w:pPr>
        <w:pStyle w:val="ListParagraph"/>
        <w:numPr>
          <w:ilvl w:val="0"/>
          <w:numId w:val="6"/>
        </w:numPr>
        <w:spacing w:before="315" w:after="105" w:line="360" w:lineRule="auto"/>
        <w:jc w:val="both"/>
      </w:pPr>
      <w:bookmarkStart w:id="23" w:name="digital_certificates_x_509"/>
      <w:r w:rsidRPr="0060006C">
        <w:rPr>
          <w:rFonts w:ascii="source serif 4" w:eastAsia="source serif 4" w:hAnsi="source serif 4" w:cs="source serif 4"/>
          <w:b/>
          <w:color w:val="000000"/>
          <w:sz w:val="24"/>
        </w:rPr>
        <w:t>Digital Certificates (X.509)</w:t>
      </w:r>
      <w:bookmarkEnd w:id="23"/>
    </w:p>
    <w:p w14:paraId="0540F87F" w14:textId="7AF36A4C" w:rsidR="00BD5AEE" w:rsidRDefault="00000000" w:rsidP="0060006C">
      <w:pPr>
        <w:pStyle w:val="ListParagraph"/>
        <w:spacing w:after="210" w:line="360" w:lineRule="auto"/>
        <w:jc w:val="both"/>
        <w:rPr>
          <w:rFonts w:ascii="source serif 4" w:eastAsia="source serif 4" w:hAnsi="source serif 4" w:cs="source serif 4"/>
          <w:color w:val="000000"/>
        </w:rPr>
      </w:pPr>
      <w:r w:rsidRPr="0060006C">
        <w:rPr>
          <w:rFonts w:ascii="source serif 4" w:eastAsia="source serif 4" w:hAnsi="source serif 4" w:cs="source serif 4"/>
          <w:color w:val="000000"/>
        </w:rPr>
        <w:t>X.509 certificates support scalable identity and trust for devices, gateways, servers, and users in certificate-based systems. They are widely used in TLS and OPC UA environments to enable mutual authentication and stronger machine-to-machine trust than shared secrets can provide.</w:t>
      </w:r>
    </w:p>
    <w:p w14:paraId="21D9B3C5" w14:textId="77777777" w:rsidR="0060006C" w:rsidRDefault="0060006C" w:rsidP="0060006C">
      <w:pPr>
        <w:pStyle w:val="ListParagraph"/>
        <w:spacing w:after="210" w:line="360" w:lineRule="auto"/>
        <w:jc w:val="both"/>
      </w:pPr>
    </w:p>
    <w:p w14:paraId="2889D45D" w14:textId="77777777" w:rsidR="00BD5AEE" w:rsidRDefault="00000000" w:rsidP="0060006C">
      <w:pPr>
        <w:pStyle w:val="ListParagraph"/>
        <w:numPr>
          <w:ilvl w:val="0"/>
          <w:numId w:val="6"/>
        </w:numPr>
        <w:spacing w:before="315" w:after="105" w:line="360" w:lineRule="auto"/>
        <w:jc w:val="both"/>
      </w:pPr>
      <w:bookmarkStart w:id="24" w:name="oauth_2_0"/>
      <w:r w:rsidRPr="0060006C">
        <w:rPr>
          <w:rFonts w:ascii="source serif 4" w:eastAsia="source serif 4" w:hAnsi="source serif 4" w:cs="source serif 4"/>
          <w:b/>
          <w:color w:val="000000"/>
          <w:sz w:val="24"/>
        </w:rPr>
        <w:t>OAuth 2.0</w:t>
      </w:r>
      <w:bookmarkEnd w:id="24"/>
    </w:p>
    <w:p w14:paraId="4AA4BE6A" w14:textId="384C2E79" w:rsidR="00BD5AEE" w:rsidRDefault="00000000" w:rsidP="0060006C">
      <w:pPr>
        <w:pStyle w:val="ListParagraph"/>
        <w:spacing w:after="210" w:line="360" w:lineRule="auto"/>
        <w:jc w:val="both"/>
        <w:rPr>
          <w:rFonts w:ascii="source serif 4" w:eastAsia="source serif 4" w:hAnsi="source serif 4" w:cs="source serif 4"/>
          <w:color w:val="000000"/>
        </w:rPr>
      </w:pPr>
      <w:r w:rsidRPr="0060006C">
        <w:rPr>
          <w:rFonts w:ascii="source serif 4" w:eastAsia="source serif 4" w:hAnsi="source serif 4" w:cs="source serif 4"/>
          <w:color w:val="000000"/>
        </w:rPr>
        <w:t>OAuth 2.0 is useful for modern API and application ecosystems where delegated authorization is needed between services and users. In IIoT cloud integrations, it can help manage application-level access to dashboards, analytics, and APIs, although it usually complements rather than replaces device identity controls.</w:t>
      </w:r>
    </w:p>
    <w:p w14:paraId="1C8169C4" w14:textId="77777777" w:rsidR="0060006C" w:rsidRDefault="0060006C" w:rsidP="0060006C">
      <w:pPr>
        <w:pStyle w:val="ListParagraph"/>
        <w:spacing w:after="210" w:line="360" w:lineRule="auto"/>
        <w:jc w:val="both"/>
      </w:pPr>
    </w:p>
    <w:p w14:paraId="2D29BF0D" w14:textId="77777777" w:rsidR="00BD5AEE" w:rsidRDefault="00000000" w:rsidP="0060006C">
      <w:pPr>
        <w:pStyle w:val="ListParagraph"/>
        <w:numPr>
          <w:ilvl w:val="0"/>
          <w:numId w:val="6"/>
        </w:numPr>
        <w:spacing w:before="315" w:after="105" w:line="360" w:lineRule="auto"/>
        <w:jc w:val="both"/>
      </w:pPr>
      <w:bookmarkStart w:id="25" w:name="public_key_infrastructure_pki"/>
      <w:r w:rsidRPr="0060006C">
        <w:rPr>
          <w:rFonts w:ascii="source serif 4" w:eastAsia="source serif 4" w:hAnsi="source serif 4" w:cs="source serif 4"/>
          <w:b/>
          <w:color w:val="000000"/>
          <w:sz w:val="24"/>
        </w:rPr>
        <w:t>Public Key Infrastructure (PKI)</w:t>
      </w:r>
      <w:bookmarkEnd w:id="25"/>
    </w:p>
    <w:p w14:paraId="359327B2" w14:textId="6442C384" w:rsidR="00BD5AEE" w:rsidRDefault="00000000" w:rsidP="0060006C">
      <w:pPr>
        <w:pStyle w:val="ListParagraph"/>
        <w:spacing w:after="210" w:line="360" w:lineRule="auto"/>
        <w:jc w:val="both"/>
        <w:rPr>
          <w:rFonts w:ascii="source serif 4" w:eastAsia="source serif 4" w:hAnsi="source serif 4" w:cs="source serif 4"/>
          <w:color w:val="000000"/>
        </w:rPr>
      </w:pPr>
      <w:r w:rsidRPr="0060006C">
        <w:rPr>
          <w:rFonts w:ascii="source serif 4" w:eastAsia="source serif 4" w:hAnsi="source serif 4" w:cs="source serif 4"/>
          <w:color w:val="000000"/>
        </w:rPr>
        <w:t>PKI is the management framework behind certificate-based trust, including issuance, validation, renewal, and revocation of digital certificates. Without a properly managed PKI, certificate-based security becomes difficult to scale and maintain over the full IIoT device lifecycle.</w:t>
      </w:r>
    </w:p>
    <w:p w14:paraId="732EEB05" w14:textId="77777777" w:rsidR="0060006C" w:rsidRDefault="0060006C" w:rsidP="0060006C">
      <w:pPr>
        <w:pStyle w:val="ListParagraph"/>
        <w:spacing w:after="210" w:line="360" w:lineRule="auto"/>
        <w:jc w:val="both"/>
      </w:pPr>
    </w:p>
    <w:p w14:paraId="6966A690" w14:textId="77777777" w:rsidR="00BD5AEE" w:rsidRDefault="00000000" w:rsidP="0060006C">
      <w:pPr>
        <w:pStyle w:val="ListParagraph"/>
        <w:numPr>
          <w:ilvl w:val="0"/>
          <w:numId w:val="6"/>
        </w:numPr>
        <w:spacing w:before="315" w:after="105" w:line="360" w:lineRule="auto"/>
        <w:jc w:val="both"/>
      </w:pPr>
      <w:bookmarkStart w:id="26" w:name="device_identity_management"/>
      <w:r w:rsidRPr="0060006C">
        <w:rPr>
          <w:rFonts w:ascii="source serif 4" w:eastAsia="source serif 4" w:hAnsi="source serif 4" w:cs="source serif 4"/>
          <w:b/>
          <w:color w:val="000000"/>
          <w:sz w:val="24"/>
        </w:rPr>
        <w:t>Device Identity Management</w:t>
      </w:r>
      <w:bookmarkEnd w:id="26"/>
    </w:p>
    <w:p w14:paraId="2210C66B" w14:textId="51D4414D" w:rsidR="00BD5AEE" w:rsidRDefault="00000000" w:rsidP="0060006C">
      <w:pPr>
        <w:pStyle w:val="ListParagraph"/>
        <w:spacing w:after="210" w:line="360" w:lineRule="auto"/>
        <w:jc w:val="both"/>
      </w:pPr>
      <w:r w:rsidRPr="0060006C">
        <w:rPr>
          <w:rFonts w:ascii="source serif 4" w:eastAsia="source serif 4" w:hAnsi="source serif 4" w:cs="source serif 4"/>
          <w:color w:val="000000"/>
        </w:rPr>
        <w:t>Each IIoT device should have a unique and verifiable identity rather than a shared credential pool. Device identity management improves onboarding security, access control, auditability, and incident response because operators can trace actions to specific endpoints.</w:t>
      </w:r>
    </w:p>
    <w:p w14:paraId="7898C41E" w14:textId="77777777" w:rsidR="00BD5AEE" w:rsidRPr="0060006C" w:rsidRDefault="00000000">
      <w:pPr>
        <w:spacing w:before="315" w:after="105" w:line="360" w:lineRule="auto"/>
        <w:ind w:left="-30"/>
        <w:rPr>
          <w:sz w:val="32"/>
          <w:szCs w:val="36"/>
          <w:u w:val="single"/>
        </w:rPr>
      </w:pPr>
      <w:bookmarkStart w:id="27" w:name="encryption_methods"/>
      <w:r w:rsidRPr="0060006C">
        <w:rPr>
          <w:rFonts w:ascii="source serif 4" w:eastAsia="source serif 4" w:hAnsi="source serif 4" w:cs="source serif 4"/>
          <w:b/>
          <w:color w:val="000000"/>
          <w:sz w:val="32"/>
          <w:szCs w:val="30"/>
          <w:u w:val="single"/>
        </w:rPr>
        <w:t>Encryption Methods</w:t>
      </w:r>
      <w:bookmarkEnd w:id="27"/>
    </w:p>
    <w:p w14:paraId="17A8BD85" w14:textId="5D9FB637" w:rsidR="00BD5AEE" w:rsidRDefault="00000000">
      <w:pPr>
        <w:spacing w:after="210" w:line="360" w:lineRule="auto"/>
      </w:pPr>
      <w:r>
        <w:rPr>
          <w:rFonts w:ascii="source serif 4" w:eastAsia="source serif 4" w:hAnsi="source serif 4" w:cs="source serif 4"/>
          <w:color w:val="000000"/>
        </w:rPr>
        <w:t>Encryption methods protect data confidentiality and, when combined with integrity mechanisms, strengthen trusted communication. The chosen method should match device capability, latency constraints, and operational criticality.</w:t>
      </w:r>
    </w:p>
    <w:p w14:paraId="3F7B4C4B" w14:textId="77777777" w:rsidR="00BD5AEE" w:rsidRDefault="00000000" w:rsidP="0060006C">
      <w:pPr>
        <w:pStyle w:val="ListParagraph"/>
        <w:numPr>
          <w:ilvl w:val="0"/>
          <w:numId w:val="6"/>
        </w:numPr>
        <w:spacing w:before="315" w:after="105" w:line="360" w:lineRule="auto"/>
        <w:jc w:val="both"/>
      </w:pPr>
      <w:bookmarkStart w:id="28" w:name="symmetric_encryption"/>
      <w:r w:rsidRPr="0060006C">
        <w:rPr>
          <w:rFonts w:ascii="source serif 4" w:eastAsia="source serif 4" w:hAnsi="source serif 4" w:cs="source serif 4"/>
          <w:b/>
          <w:color w:val="000000"/>
          <w:sz w:val="24"/>
        </w:rPr>
        <w:lastRenderedPageBreak/>
        <w:t>Symmetric Encryption</w:t>
      </w:r>
      <w:bookmarkEnd w:id="28"/>
    </w:p>
    <w:p w14:paraId="782A9CD4" w14:textId="4BE92998" w:rsidR="00BD5AEE" w:rsidRDefault="00000000" w:rsidP="0060006C">
      <w:pPr>
        <w:pStyle w:val="ListParagraph"/>
        <w:spacing w:after="210" w:line="360" w:lineRule="auto"/>
        <w:jc w:val="both"/>
      </w:pPr>
      <w:r w:rsidRPr="0060006C">
        <w:rPr>
          <w:rFonts w:ascii="source serif 4" w:eastAsia="source serif 4" w:hAnsi="source serif 4" w:cs="source serif 4"/>
          <w:color w:val="000000"/>
        </w:rPr>
        <w:t>Symmetric encryption uses one shared secret key for both encryption and decryption. AES-128 and AES-256 are common examples because they are efficient for protecting data in transit or at rest and are practical for many industrial communication and storage use cases.</w:t>
      </w:r>
    </w:p>
    <w:p w14:paraId="15CF6B14" w14:textId="77777777" w:rsidR="00BD5AEE" w:rsidRDefault="00000000" w:rsidP="0060006C">
      <w:pPr>
        <w:pStyle w:val="ListParagraph"/>
        <w:numPr>
          <w:ilvl w:val="0"/>
          <w:numId w:val="6"/>
        </w:numPr>
        <w:spacing w:before="315" w:after="105" w:line="360" w:lineRule="auto"/>
        <w:jc w:val="both"/>
      </w:pPr>
      <w:bookmarkStart w:id="29" w:name="asymmetric_encryption"/>
      <w:r w:rsidRPr="0060006C">
        <w:rPr>
          <w:rFonts w:ascii="source serif 4" w:eastAsia="source serif 4" w:hAnsi="source serif 4" w:cs="source serif 4"/>
          <w:b/>
          <w:color w:val="000000"/>
          <w:sz w:val="24"/>
        </w:rPr>
        <w:t>Asymmetric Encryption</w:t>
      </w:r>
      <w:bookmarkEnd w:id="29"/>
    </w:p>
    <w:p w14:paraId="514B8DB2" w14:textId="16CF2D05" w:rsidR="00BD5AEE" w:rsidRDefault="00000000" w:rsidP="0060006C">
      <w:pPr>
        <w:pStyle w:val="ListParagraph"/>
        <w:spacing w:after="210" w:line="360" w:lineRule="auto"/>
        <w:jc w:val="both"/>
      </w:pPr>
      <w:r w:rsidRPr="0060006C">
        <w:rPr>
          <w:rFonts w:ascii="source serif 4" w:eastAsia="source serif 4" w:hAnsi="source serif 4" w:cs="source serif 4"/>
          <w:color w:val="000000"/>
        </w:rPr>
        <w:t>Asymmetric encryption uses a public-private key pair rather than one shared secret. RSA and ECC are common examples used for key exchange, certificate systems, digital signatures, and secure session establishment in distributed environments.</w:t>
      </w:r>
    </w:p>
    <w:p w14:paraId="5A87BEAD" w14:textId="77777777" w:rsidR="00BD5AEE" w:rsidRDefault="00000000" w:rsidP="0060006C">
      <w:pPr>
        <w:pStyle w:val="ListParagraph"/>
        <w:numPr>
          <w:ilvl w:val="0"/>
          <w:numId w:val="6"/>
        </w:numPr>
        <w:spacing w:before="315" w:after="105" w:line="360" w:lineRule="auto"/>
        <w:jc w:val="both"/>
      </w:pPr>
      <w:bookmarkStart w:id="30" w:name="hashing"/>
      <w:r w:rsidRPr="0060006C">
        <w:rPr>
          <w:rFonts w:ascii="source serif 4" w:eastAsia="source serif 4" w:hAnsi="source serif 4" w:cs="source serif 4"/>
          <w:b/>
          <w:color w:val="000000"/>
          <w:sz w:val="24"/>
        </w:rPr>
        <w:t>Hashing</w:t>
      </w:r>
      <w:bookmarkEnd w:id="30"/>
    </w:p>
    <w:p w14:paraId="24AAEAF6" w14:textId="5DA56E47" w:rsidR="00BD5AEE" w:rsidRDefault="00000000" w:rsidP="0060006C">
      <w:pPr>
        <w:pStyle w:val="ListParagraph"/>
        <w:spacing w:after="210" w:line="360" w:lineRule="auto"/>
        <w:jc w:val="both"/>
      </w:pPr>
      <w:r w:rsidRPr="0060006C">
        <w:rPr>
          <w:rFonts w:ascii="source serif 4" w:eastAsia="source serif 4" w:hAnsi="source serif 4" w:cs="source serif 4"/>
          <w:color w:val="000000"/>
        </w:rPr>
        <w:t>Hashing converts data into a fixed-size digest and is used for integrity verification, password storage schemes, and digital signature workflows. SHA-256 is widely used because it provides a strong digest suitable for modern security applications.</w:t>
      </w:r>
    </w:p>
    <w:p w14:paraId="4C04995C" w14:textId="77777777" w:rsidR="00BD5AEE" w:rsidRDefault="00000000" w:rsidP="0060006C">
      <w:pPr>
        <w:pStyle w:val="ListParagraph"/>
        <w:numPr>
          <w:ilvl w:val="0"/>
          <w:numId w:val="6"/>
        </w:numPr>
        <w:spacing w:before="315" w:after="105" w:line="360" w:lineRule="auto"/>
        <w:jc w:val="both"/>
      </w:pPr>
      <w:bookmarkStart w:id="31" w:name="digital_signatures"/>
      <w:r w:rsidRPr="0060006C">
        <w:rPr>
          <w:rFonts w:ascii="source serif 4" w:eastAsia="source serif 4" w:hAnsi="source serif 4" w:cs="source serif 4"/>
          <w:b/>
          <w:color w:val="000000"/>
          <w:sz w:val="24"/>
        </w:rPr>
        <w:t>Digital Signatures</w:t>
      </w:r>
      <w:bookmarkEnd w:id="31"/>
    </w:p>
    <w:p w14:paraId="677C4EE3" w14:textId="02A35128" w:rsidR="00BD5AEE" w:rsidRDefault="00000000" w:rsidP="0060006C">
      <w:pPr>
        <w:pStyle w:val="ListParagraph"/>
        <w:spacing w:after="210" w:line="360" w:lineRule="auto"/>
        <w:jc w:val="both"/>
      </w:pPr>
      <w:r w:rsidRPr="0060006C">
        <w:rPr>
          <w:rFonts w:ascii="source serif 4" w:eastAsia="source serif 4" w:hAnsi="source serif 4" w:cs="source serif 4"/>
          <w:color w:val="000000"/>
        </w:rPr>
        <w:t>Digital signatures allow a receiver to verify both integrity and sender authenticity. They are especially valuable in IIoT for signed firmware, secure updates, message authenticity, and non-repudiation in critical communications.</w:t>
      </w:r>
    </w:p>
    <w:p w14:paraId="26EB4CF5" w14:textId="77777777" w:rsidR="00BD5AEE" w:rsidRDefault="00000000">
      <w:pPr>
        <w:spacing w:before="315" w:after="105" w:line="360" w:lineRule="auto"/>
        <w:ind w:left="-30"/>
      </w:pPr>
      <w:bookmarkStart w:id="32" w:name="risk_assessment"/>
      <w:r>
        <w:rPr>
          <w:rFonts w:ascii="source serif 4" w:eastAsia="source serif 4" w:hAnsi="source serif 4" w:cs="source serif 4"/>
          <w:b/>
          <w:color w:val="000000"/>
          <w:sz w:val="24"/>
        </w:rPr>
        <w:t>Risk Assessment</w:t>
      </w:r>
      <w:bookmarkEnd w:id="32"/>
    </w:p>
    <w:p w14:paraId="2BF41B76" w14:textId="1D384054" w:rsidR="00BD5AEE" w:rsidRDefault="00000000">
      <w:pPr>
        <w:spacing w:after="210" w:line="360" w:lineRule="auto"/>
      </w:pPr>
      <w:r>
        <w:rPr>
          <w:rFonts w:ascii="source serif 4" w:eastAsia="source serif 4" w:hAnsi="source serif 4" w:cs="source serif 4"/>
          <w:color w:val="000000"/>
        </w:rPr>
        <w:t>The table below uses a simple qualitative model based on impact, likelihood, and mitigation.</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03"/>
        <w:gridCol w:w="921"/>
        <w:gridCol w:w="1095"/>
        <w:gridCol w:w="1053"/>
        <w:gridCol w:w="4432"/>
      </w:tblGrid>
      <w:tr w:rsidR="00BD5AEE" w14:paraId="3C84C58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ECE4A25" w14:textId="77777777" w:rsidR="00BD5AEE" w:rsidRDefault="00000000">
            <w:pPr>
              <w:spacing w:line="360" w:lineRule="auto"/>
            </w:pPr>
            <w:r>
              <w:rPr>
                <w:rFonts w:ascii="source sans 3" w:eastAsia="source sans 3" w:hAnsi="source sans 3" w:cs="source sans 3"/>
                <w:color w:val="000000"/>
                <w:sz w:val="17"/>
              </w:rPr>
              <w:t>Threat</w:t>
            </w:r>
          </w:p>
        </w:tc>
        <w:tc>
          <w:tcPr>
            <w:tcW w:w="0" w:type="auto"/>
            <w:tcBorders>
              <w:top w:val="single" w:sz="1" w:space="0" w:color="000000"/>
              <w:bottom w:val="single" w:sz="1" w:space="0" w:color="000000"/>
              <w:right w:val="single" w:sz="1" w:space="0" w:color="000000"/>
            </w:tcBorders>
          </w:tcPr>
          <w:p w14:paraId="5AFF43D5" w14:textId="77777777" w:rsidR="00BD5AEE" w:rsidRDefault="00000000">
            <w:pPr>
              <w:spacing w:line="360" w:lineRule="auto"/>
            </w:pPr>
            <w:r>
              <w:rPr>
                <w:rFonts w:ascii="source sans 3" w:eastAsia="source sans 3" w:hAnsi="source sans 3" w:cs="source sans 3"/>
                <w:color w:val="000000"/>
                <w:sz w:val="17"/>
              </w:rPr>
              <w:t>Impact</w:t>
            </w:r>
          </w:p>
        </w:tc>
        <w:tc>
          <w:tcPr>
            <w:tcW w:w="0" w:type="auto"/>
            <w:tcBorders>
              <w:top w:val="single" w:sz="1" w:space="0" w:color="000000"/>
              <w:bottom w:val="single" w:sz="1" w:space="0" w:color="000000"/>
              <w:right w:val="single" w:sz="1" w:space="0" w:color="000000"/>
            </w:tcBorders>
          </w:tcPr>
          <w:p w14:paraId="0DDA2CC8" w14:textId="77777777" w:rsidR="00BD5AEE" w:rsidRDefault="00000000">
            <w:pPr>
              <w:spacing w:line="360" w:lineRule="auto"/>
            </w:pPr>
            <w:r>
              <w:rPr>
                <w:rFonts w:ascii="source sans 3" w:eastAsia="source sans 3" w:hAnsi="source sans 3" w:cs="source sans 3"/>
                <w:color w:val="000000"/>
                <w:sz w:val="17"/>
              </w:rPr>
              <w:t>Likelihood</w:t>
            </w:r>
          </w:p>
        </w:tc>
        <w:tc>
          <w:tcPr>
            <w:tcW w:w="0" w:type="auto"/>
            <w:tcBorders>
              <w:top w:val="single" w:sz="1" w:space="0" w:color="000000"/>
              <w:bottom w:val="single" w:sz="1" w:space="0" w:color="000000"/>
              <w:right w:val="single" w:sz="1" w:space="0" w:color="000000"/>
            </w:tcBorders>
          </w:tcPr>
          <w:p w14:paraId="05F4A570" w14:textId="77777777" w:rsidR="00BD5AEE" w:rsidRDefault="00000000">
            <w:pPr>
              <w:spacing w:line="360" w:lineRule="auto"/>
            </w:pPr>
            <w:r>
              <w:rPr>
                <w:rFonts w:ascii="source sans 3" w:eastAsia="source sans 3" w:hAnsi="source sans 3" w:cs="source sans 3"/>
                <w:color w:val="000000"/>
                <w:sz w:val="17"/>
              </w:rPr>
              <w:t>Risk Level</w:t>
            </w:r>
          </w:p>
        </w:tc>
        <w:tc>
          <w:tcPr>
            <w:tcW w:w="0" w:type="auto"/>
            <w:tcBorders>
              <w:top w:val="single" w:sz="1" w:space="0" w:color="000000"/>
              <w:bottom w:val="single" w:sz="1" w:space="0" w:color="000000"/>
            </w:tcBorders>
          </w:tcPr>
          <w:p w14:paraId="157B76AF" w14:textId="77777777" w:rsidR="00BD5AEE" w:rsidRDefault="00000000">
            <w:pPr>
              <w:spacing w:line="360" w:lineRule="auto"/>
            </w:pPr>
            <w:r>
              <w:rPr>
                <w:rFonts w:ascii="source sans 3" w:eastAsia="source sans 3" w:hAnsi="source sans 3" w:cs="source sans 3"/>
                <w:color w:val="000000"/>
                <w:sz w:val="17"/>
              </w:rPr>
              <w:t>Mitigation</w:t>
            </w:r>
          </w:p>
        </w:tc>
      </w:tr>
      <w:tr w:rsidR="00BD5AEE" w14:paraId="3F86E11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C99CCF7" w14:textId="77777777" w:rsidR="00BD5AEE" w:rsidRDefault="00000000">
            <w:pPr>
              <w:spacing w:line="360" w:lineRule="auto"/>
            </w:pPr>
            <w:r>
              <w:rPr>
                <w:rFonts w:ascii="source sans 3" w:eastAsia="source sans 3" w:hAnsi="source sans 3" w:cs="source sans 3"/>
                <w:color w:val="000000"/>
                <w:sz w:val="17"/>
              </w:rPr>
              <w:t>DDoS Attack</w:t>
            </w:r>
          </w:p>
        </w:tc>
        <w:tc>
          <w:tcPr>
            <w:tcW w:w="0" w:type="auto"/>
            <w:tcBorders>
              <w:top w:val="single" w:sz="1" w:space="0" w:color="000000"/>
              <w:bottom w:val="single" w:sz="1" w:space="0" w:color="000000"/>
              <w:right w:val="single" w:sz="1" w:space="0" w:color="000000"/>
            </w:tcBorders>
          </w:tcPr>
          <w:p w14:paraId="4358F72C" w14:textId="2ED2ABCB" w:rsidR="00BD5AEE" w:rsidRDefault="00000000">
            <w:pPr>
              <w:spacing w:line="360" w:lineRule="auto"/>
            </w:pPr>
            <w:r>
              <w:rPr>
                <w:rFonts w:ascii="source sans 3" w:eastAsia="source sans 3" w:hAnsi="source sans 3" w:cs="source sans 3"/>
                <w:color w:val="000000"/>
                <w:sz w:val="17"/>
              </w:rPr>
              <w:t xml:space="preserve">High </w:t>
            </w:r>
          </w:p>
        </w:tc>
        <w:tc>
          <w:tcPr>
            <w:tcW w:w="0" w:type="auto"/>
            <w:tcBorders>
              <w:top w:val="single" w:sz="1" w:space="0" w:color="000000"/>
              <w:bottom w:val="single" w:sz="1" w:space="0" w:color="000000"/>
              <w:right w:val="single" w:sz="1" w:space="0" w:color="000000"/>
            </w:tcBorders>
          </w:tcPr>
          <w:p w14:paraId="470F2BD9" w14:textId="63156555" w:rsidR="00BD5AEE" w:rsidRDefault="00000000">
            <w:pPr>
              <w:spacing w:line="360" w:lineRule="auto"/>
            </w:pPr>
            <w:r>
              <w:rPr>
                <w:rFonts w:ascii="source sans 3" w:eastAsia="source sans 3" w:hAnsi="source sans 3" w:cs="source sans 3"/>
                <w:color w:val="000000"/>
                <w:sz w:val="17"/>
              </w:rPr>
              <w:t xml:space="preserve">High </w:t>
            </w:r>
          </w:p>
        </w:tc>
        <w:tc>
          <w:tcPr>
            <w:tcW w:w="0" w:type="auto"/>
            <w:tcBorders>
              <w:top w:val="single" w:sz="1" w:space="0" w:color="000000"/>
              <w:bottom w:val="single" w:sz="1" w:space="0" w:color="000000"/>
              <w:right w:val="single" w:sz="1" w:space="0" w:color="000000"/>
            </w:tcBorders>
          </w:tcPr>
          <w:p w14:paraId="2C120E02" w14:textId="46DD5EDF" w:rsidR="00BD5AEE" w:rsidRDefault="00000000">
            <w:pPr>
              <w:spacing w:line="360" w:lineRule="auto"/>
            </w:pPr>
            <w:r>
              <w:rPr>
                <w:rFonts w:ascii="source sans 3" w:eastAsia="source sans 3" w:hAnsi="source sans 3" w:cs="source sans 3"/>
                <w:color w:val="000000"/>
                <w:sz w:val="17"/>
              </w:rPr>
              <w:t xml:space="preserve">Critical </w:t>
            </w:r>
          </w:p>
        </w:tc>
        <w:tc>
          <w:tcPr>
            <w:tcW w:w="0" w:type="auto"/>
            <w:tcBorders>
              <w:top w:val="single" w:sz="1" w:space="0" w:color="000000"/>
              <w:bottom w:val="single" w:sz="1" w:space="0" w:color="000000"/>
            </w:tcBorders>
          </w:tcPr>
          <w:p w14:paraId="4BB024F6" w14:textId="358D678E" w:rsidR="00BD5AEE" w:rsidRDefault="00000000">
            <w:pPr>
              <w:spacing w:line="360" w:lineRule="auto"/>
            </w:pPr>
            <w:r>
              <w:rPr>
                <w:rFonts w:ascii="source sans 3" w:eastAsia="source sans 3" w:hAnsi="source sans 3" w:cs="source sans 3"/>
                <w:color w:val="000000"/>
                <w:sz w:val="17"/>
              </w:rPr>
              <w:t xml:space="preserve">Firewall, IDS/IPS, rate limiting, resilient architecture </w:t>
            </w:r>
          </w:p>
        </w:tc>
      </w:tr>
      <w:tr w:rsidR="00BD5AEE" w14:paraId="174C1D8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75DC2A" w14:textId="77777777" w:rsidR="00BD5AEE" w:rsidRDefault="00000000">
            <w:pPr>
              <w:spacing w:line="360" w:lineRule="auto"/>
            </w:pPr>
            <w:r>
              <w:rPr>
                <w:rFonts w:ascii="source sans 3" w:eastAsia="source sans 3" w:hAnsi="source sans 3" w:cs="source sans 3"/>
                <w:color w:val="000000"/>
                <w:sz w:val="17"/>
              </w:rPr>
              <w:t>MITM Attack</w:t>
            </w:r>
          </w:p>
        </w:tc>
        <w:tc>
          <w:tcPr>
            <w:tcW w:w="0" w:type="auto"/>
            <w:tcBorders>
              <w:top w:val="single" w:sz="1" w:space="0" w:color="000000"/>
              <w:bottom w:val="single" w:sz="1" w:space="0" w:color="000000"/>
              <w:right w:val="single" w:sz="1" w:space="0" w:color="000000"/>
            </w:tcBorders>
          </w:tcPr>
          <w:p w14:paraId="288C0290" w14:textId="0CCA8490" w:rsidR="00BD5AEE" w:rsidRDefault="00000000">
            <w:pPr>
              <w:spacing w:line="360" w:lineRule="auto"/>
            </w:pPr>
            <w:r>
              <w:rPr>
                <w:rFonts w:ascii="source sans 3" w:eastAsia="source sans 3" w:hAnsi="source sans 3" w:cs="source sans 3"/>
                <w:color w:val="000000"/>
                <w:sz w:val="17"/>
              </w:rPr>
              <w:t xml:space="preserve">High </w:t>
            </w:r>
          </w:p>
        </w:tc>
        <w:tc>
          <w:tcPr>
            <w:tcW w:w="0" w:type="auto"/>
            <w:tcBorders>
              <w:top w:val="single" w:sz="1" w:space="0" w:color="000000"/>
              <w:bottom w:val="single" w:sz="1" w:space="0" w:color="000000"/>
              <w:right w:val="single" w:sz="1" w:space="0" w:color="000000"/>
            </w:tcBorders>
          </w:tcPr>
          <w:p w14:paraId="1E4B16D8" w14:textId="504C30D9" w:rsidR="00BD5AEE" w:rsidRDefault="00000000">
            <w:pPr>
              <w:spacing w:line="360" w:lineRule="auto"/>
            </w:pPr>
            <w:r>
              <w:rPr>
                <w:rFonts w:ascii="source sans 3" w:eastAsia="source sans 3" w:hAnsi="source sans 3" w:cs="source sans 3"/>
                <w:color w:val="000000"/>
                <w:sz w:val="17"/>
              </w:rPr>
              <w:t xml:space="preserve">Medium </w:t>
            </w:r>
          </w:p>
        </w:tc>
        <w:tc>
          <w:tcPr>
            <w:tcW w:w="0" w:type="auto"/>
            <w:tcBorders>
              <w:top w:val="single" w:sz="1" w:space="0" w:color="000000"/>
              <w:bottom w:val="single" w:sz="1" w:space="0" w:color="000000"/>
              <w:right w:val="single" w:sz="1" w:space="0" w:color="000000"/>
            </w:tcBorders>
          </w:tcPr>
          <w:p w14:paraId="41B82FB7" w14:textId="15FAD8F0" w:rsidR="00BD5AEE" w:rsidRDefault="00000000">
            <w:pPr>
              <w:spacing w:line="360" w:lineRule="auto"/>
            </w:pPr>
            <w:r>
              <w:rPr>
                <w:rFonts w:ascii="source sans 3" w:eastAsia="source sans 3" w:hAnsi="source sans 3" w:cs="source sans 3"/>
                <w:color w:val="000000"/>
                <w:sz w:val="17"/>
              </w:rPr>
              <w:t xml:space="preserve">High </w:t>
            </w:r>
          </w:p>
        </w:tc>
        <w:tc>
          <w:tcPr>
            <w:tcW w:w="0" w:type="auto"/>
            <w:tcBorders>
              <w:top w:val="single" w:sz="1" w:space="0" w:color="000000"/>
              <w:bottom w:val="single" w:sz="1" w:space="0" w:color="000000"/>
            </w:tcBorders>
          </w:tcPr>
          <w:p w14:paraId="520B51C0" w14:textId="4E6D0D06" w:rsidR="00BD5AEE" w:rsidRDefault="00000000">
            <w:pPr>
              <w:spacing w:line="360" w:lineRule="auto"/>
            </w:pPr>
            <w:r>
              <w:rPr>
                <w:rFonts w:ascii="source sans 3" w:eastAsia="source sans 3" w:hAnsi="source sans 3" w:cs="source sans 3"/>
                <w:color w:val="000000"/>
                <w:sz w:val="17"/>
              </w:rPr>
              <w:t xml:space="preserve">TLS, certificate validation, mutual authentication </w:t>
            </w:r>
          </w:p>
        </w:tc>
      </w:tr>
      <w:tr w:rsidR="00BD5AEE" w14:paraId="1FCC69A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E15714C" w14:textId="77777777" w:rsidR="00BD5AEE" w:rsidRDefault="00000000">
            <w:pPr>
              <w:spacing w:line="360" w:lineRule="auto"/>
            </w:pPr>
            <w:r>
              <w:rPr>
                <w:rFonts w:ascii="source sans 3" w:eastAsia="source sans 3" w:hAnsi="source sans 3" w:cs="source sans 3"/>
                <w:color w:val="000000"/>
                <w:sz w:val="17"/>
              </w:rPr>
              <w:t>Weak Password</w:t>
            </w:r>
          </w:p>
        </w:tc>
        <w:tc>
          <w:tcPr>
            <w:tcW w:w="0" w:type="auto"/>
            <w:tcBorders>
              <w:top w:val="single" w:sz="1" w:space="0" w:color="000000"/>
              <w:bottom w:val="single" w:sz="1" w:space="0" w:color="000000"/>
              <w:right w:val="single" w:sz="1" w:space="0" w:color="000000"/>
            </w:tcBorders>
          </w:tcPr>
          <w:p w14:paraId="77A865B8" w14:textId="545878F1" w:rsidR="00BD5AEE" w:rsidRDefault="00000000">
            <w:pPr>
              <w:spacing w:line="360" w:lineRule="auto"/>
            </w:pPr>
            <w:r>
              <w:rPr>
                <w:rFonts w:ascii="source sans 3" w:eastAsia="source sans 3" w:hAnsi="source sans 3" w:cs="source sans 3"/>
                <w:color w:val="000000"/>
                <w:sz w:val="17"/>
              </w:rPr>
              <w:t xml:space="preserve">Medium </w:t>
            </w:r>
          </w:p>
        </w:tc>
        <w:tc>
          <w:tcPr>
            <w:tcW w:w="0" w:type="auto"/>
            <w:tcBorders>
              <w:top w:val="single" w:sz="1" w:space="0" w:color="000000"/>
              <w:bottom w:val="single" w:sz="1" w:space="0" w:color="000000"/>
              <w:right w:val="single" w:sz="1" w:space="0" w:color="000000"/>
            </w:tcBorders>
          </w:tcPr>
          <w:p w14:paraId="12534061" w14:textId="612490BD" w:rsidR="00BD5AEE" w:rsidRDefault="00000000">
            <w:pPr>
              <w:spacing w:line="360" w:lineRule="auto"/>
            </w:pPr>
            <w:r>
              <w:rPr>
                <w:rFonts w:ascii="source sans 3" w:eastAsia="source sans 3" w:hAnsi="source sans 3" w:cs="source sans 3"/>
                <w:color w:val="000000"/>
                <w:sz w:val="17"/>
              </w:rPr>
              <w:t xml:space="preserve">High </w:t>
            </w:r>
          </w:p>
        </w:tc>
        <w:tc>
          <w:tcPr>
            <w:tcW w:w="0" w:type="auto"/>
            <w:tcBorders>
              <w:top w:val="single" w:sz="1" w:space="0" w:color="000000"/>
              <w:bottom w:val="single" w:sz="1" w:space="0" w:color="000000"/>
              <w:right w:val="single" w:sz="1" w:space="0" w:color="000000"/>
            </w:tcBorders>
          </w:tcPr>
          <w:p w14:paraId="1ED97885" w14:textId="52D17EAC" w:rsidR="00BD5AEE" w:rsidRDefault="00000000">
            <w:pPr>
              <w:spacing w:line="360" w:lineRule="auto"/>
            </w:pPr>
            <w:r>
              <w:rPr>
                <w:rFonts w:ascii="source sans 3" w:eastAsia="source sans 3" w:hAnsi="source sans 3" w:cs="source sans 3"/>
                <w:color w:val="000000"/>
                <w:sz w:val="17"/>
              </w:rPr>
              <w:t xml:space="preserve">High </w:t>
            </w:r>
          </w:p>
        </w:tc>
        <w:tc>
          <w:tcPr>
            <w:tcW w:w="0" w:type="auto"/>
            <w:tcBorders>
              <w:top w:val="single" w:sz="1" w:space="0" w:color="000000"/>
              <w:bottom w:val="single" w:sz="1" w:space="0" w:color="000000"/>
            </w:tcBorders>
          </w:tcPr>
          <w:p w14:paraId="17F15166" w14:textId="49F5686C" w:rsidR="00BD5AEE" w:rsidRDefault="00000000">
            <w:pPr>
              <w:spacing w:line="360" w:lineRule="auto"/>
            </w:pPr>
            <w:r>
              <w:rPr>
                <w:rFonts w:ascii="source sans 3" w:eastAsia="source sans 3" w:hAnsi="source sans 3" w:cs="source sans 3"/>
                <w:color w:val="000000"/>
                <w:sz w:val="17"/>
              </w:rPr>
              <w:t xml:space="preserve">MFA, strong password policy, account review </w:t>
            </w:r>
          </w:p>
        </w:tc>
      </w:tr>
      <w:tr w:rsidR="00BD5AEE" w14:paraId="77EC10E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FFF17D1" w14:textId="77777777" w:rsidR="00BD5AEE" w:rsidRDefault="00000000">
            <w:pPr>
              <w:spacing w:line="360" w:lineRule="auto"/>
            </w:pPr>
            <w:r>
              <w:rPr>
                <w:rFonts w:ascii="source sans 3" w:eastAsia="source sans 3" w:hAnsi="source sans 3" w:cs="source sans 3"/>
                <w:color w:val="000000"/>
                <w:sz w:val="17"/>
              </w:rPr>
              <w:t>Firmware Tampering</w:t>
            </w:r>
          </w:p>
        </w:tc>
        <w:tc>
          <w:tcPr>
            <w:tcW w:w="0" w:type="auto"/>
            <w:tcBorders>
              <w:top w:val="single" w:sz="1" w:space="0" w:color="000000"/>
              <w:bottom w:val="single" w:sz="1" w:space="0" w:color="000000"/>
              <w:right w:val="single" w:sz="1" w:space="0" w:color="000000"/>
            </w:tcBorders>
          </w:tcPr>
          <w:p w14:paraId="7841A46F" w14:textId="66B3CC33" w:rsidR="00BD5AEE" w:rsidRDefault="00000000">
            <w:pPr>
              <w:spacing w:line="360" w:lineRule="auto"/>
            </w:pPr>
            <w:r>
              <w:rPr>
                <w:rFonts w:ascii="source sans 3" w:eastAsia="source sans 3" w:hAnsi="source sans 3" w:cs="source sans 3"/>
                <w:color w:val="000000"/>
                <w:sz w:val="17"/>
              </w:rPr>
              <w:t xml:space="preserve">High </w:t>
            </w:r>
          </w:p>
        </w:tc>
        <w:tc>
          <w:tcPr>
            <w:tcW w:w="0" w:type="auto"/>
            <w:tcBorders>
              <w:top w:val="single" w:sz="1" w:space="0" w:color="000000"/>
              <w:bottom w:val="single" w:sz="1" w:space="0" w:color="000000"/>
              <w:right w:val="single" w:sz="1" w:space="0" w:color="000000"/>
            </w:tcBorders>
          </w:tcPr>
          <w:p w14:paraId="094E2BBE" w14:textId="1AADBFFC" w:rsidR="00BD5AEE" w:rsidRDefault="00000000">
            <w:pPr>
              <w:spacing w:line="360" w:lineRule="auto"/>
            </w:pPr>
            <w:r>
              <w:rPr>
                <w:rFonts w:ascii="source sans 3" w:eastAsia="source sans 3" w:hAnsi="source sans 3" w:cs="source sans 3"/>
                <w:color w:val="000000"/>
                <w:sz w:val="17"/>
              </w:rPr>
              <w:t xml:space="preserve">Medium </w:t>
            </w:r>
          </w:p>
        </w:tc>
        <w:tc>
          <w:tcPr>
            <w:tcW w:w="0" w:type="auto"/>
            <w:tcBorders>
              <w:top w:val="single" w:sz="1" w:space="0" w:color="000000"/>
              <w:bottom w:val="single" w:sz="1" w:space="0" w:color="000000"/>
              <w:right w:val="single" w:sz="1" w:space="0" w:color="000000"/>
            </w:tcBorders>
          </w:tcPr>
          <w:p w14:paraId="16F0BD6A" w14:textId="16AAD8E7" w:rsidR="00BD5AEE" w:rsidRDefault="00000000">
            <w:pPr>
              <w:spacing w:line="360" w:lineRule="auto"/>
            </w:pPr>
            <w:r>
              <w:rPr>
                <w:rFonts w:ascii="source sans 3" w:eastAsia="source sans 3" w:hAnsi="source sans 3" w:cs="source sans 3"/>
                <w:color w:val="000000"/>
                <w:sz w:val="17"/>
              </w:rPr>
              <w:t xml:space="preserve">High </w:t>
            </w:r>
          </w:p>
        </w:tc>
        <w:tc>
          <w:tcPr>
            <w:tcW w:w="0" w:type="auto"/>
            <w:tcBorders>
              <w:top w:val="single" w:sz="1" w:space="0" w:color="000000"/>
              <w:bottom w:val="single" w:sz="1" w:space="0" w:color="000000"/>
            </w:tcBorders>
          </w:tcPr>
          <w:p w14:paraId="2C9F577D" w14:textId="334FCBCB" w:rsidR="00BD5AEE" w:rsidRDefault="00000000">
            <w:pPr>
              <w:spacing w:line="360" w:lineRule="auto"/>
            </w:pPr>
            <w:r>
              <w:rPr>
                <w:rFonts w:ascii="source sans 3" w:eastAsia="source sans 3" w:hAnsi="source sans 3" w:cs="source sans 3"/>
                <w:color w:val="000000"/>
                <w:sz w:val="17"/>
              </w:rPr>
              <w:t xml:space="preserve">Secure boot, signed firmware, controlled updates </w:t>
            </w:r>
          </w:p>
        </w:tc>
      </w:tr>
      <w:tr w:rsidR="00BD5AEE" w14:paraId="6275FDE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524EFB" w14:textId="77777777" w:rsidR="00BD5AEE" w:rsidRDefault="00000000">
            <w:pPr>
              <w:spacing w:line="360" w:lineRule="auto"/>
            </w:pPr>
            <w:r>
              <w:rPr>
                <w:rFonts w:ascii="source sans 3" w:eastAsia="source sans 3" w:hAnsi="source sans 3" w:cs="source sans 3"/>
                <w:color w:val="000000"/>
                <w:sz w:val="17"/>
              </w:rPr>
              <w:t>Replay Attack</w:t>
            </w:r>
          </w:p>
        </w:tc>
        <w:tc>
          <w:tcPr>
            <w:tcW w:w="0" w:type="auto"/>
            <w:tcBorders>
              <w:top w:val="single" w:sz="1" w:space="0" w:color="000000"/>
              <w:bottom w:val="single" w:sz="1" w:space="0" w:color="000000"/>
              <w:right w:val="single" w:sz="1" w:space="0" w:color="000000"/>
            </w:tcBorders>
          </w:tcPr>
          <w:p w14:paraId="0EACC8D4" w14:textId="48998070" w:rsidR="00BD5AEE" w:rsidRDefault="00000000">
            <w:pPr>
              <w:spacing w:line="360" w:lineRule="auto"/>
            </w:pPr>
            <w:r>
              <w:rPr>
                <w:rFonts w:ascii="source sans 3" w:eastAsia="source sans 3" w:hAnsi="source sans 3" w:cs="source sans 3"/>
                <w:color w:val="000000"/>
                <w:sz w:val="17"/>
              </w:rPr>
              <w:t xml:space="preserve">Medium </w:t>
            </w:r>
          </w:p>
        </w:tc>
        <w:tc>
          <w:tcPr>
            <w:tcW w:w="0" w:type="auto"/>
            <w:tcBorders>
              <w:top w:val="single" w:sz="1" w:space="0" w:color="000000"/>
              <w:bottom w:val="single" w:sz="1" w:space="0" w:color="000000"/>
              <w:right w:val="single" w:sz="1" w:space="0" w:color="000000"/>
            </w:tcBorders>
          </w:tcPr>
          <w:p w14:paraId="15A13819" w14:textId="43E130B0" w:rsidR="00BD5AEE" w:rsidRDefault="00000000">
            <w:pPr>
              <w:spacing w:line="360" w:lineRule="auto"/>
            </w:pPr>
            <w:r>
              <w:rPr>
                <w:rFonts w:ascii="source sans 3" w:eastAsia="source sans 3" w:hAnsi="source sans 3" w:cs="source sans 3"/>
                <w:color w:val="000000"/>
                <w:sz w:val="17"/>
              </w:rPr>
              <w:t xml:space="preserve">Medium </w:t>
            </w:r>
          </w:p>
        </w:tc>
        <w:tc>
          <w:tcPr>
            <w:tcW w:w="0" w:type="auto"/>
            <w:tcBorders>
              <w:top w:val="single" w:sz="1" w:space="0" w:color="000000"/>
              <w:bottom w:val="single" w:sz="1" w:space="0" w:color="000000"/>
              <w:right w:val="single" w:sz="1" w:space="0" w:color="000000"/>
            </w:tcBorders>
          </w:tcPr>
          <w:p w14:paraId="64F1CAB5" w14:textId="3115AE46" w:rsidR="00BD5AEE" w:rsidRDefault="00000000">
            <w:pPr>
              <w:spacing w:line="360" w:lineRule="auto"/>
            </w:pPr>
            <w:r>
              <w:rPr>
                <w:rFonts w:ascii="source sans 3" w:eastAsia="source sans 3" w:hAnsi="source sans 3" w:cs="source sans 3"/>
                <w:color w:val="000000"/>
                <w:sz w:val="17"/>
              </w:rPr>
              <w:t xml:space="preserve">Medium </w:t>
            </w:r>
          </w:p>
        </w:tc>
        <w:tc>
          <w:tcPr>
            <w:tcW w:w="0" w:type="auto"/>
            <w:tcBorders>
              <w:top w:val="single" w:sz="1" w:space="0" w:color="000000"/>
              <w:bottom w:val="single" w:sz="1" w:space="0" w:color="000000"/>
            </w:tcBorders>
          </w:tcPr>
          <w:p w14:paraId="2AFA615D" w14:textId="27CB8135" w:rsidR="00BD5AEE" w:rsidRDefault="00000000">
            <w:pPr>
              <w:spacing w:line="360" w:lineRule="auto"/>
            </w:pPr>
            <w:r>
              <w:rPr>
                <w:rFonts w:ascii="source sans 3" w:eastAsia="source sans 3" w:hAnsi="source sans 3" w:cs="source sans 3"/>
                <w:color w:val="000000"/>
                <w:sz w:val="17"/>
              </w:rPr>
              <w:t xml:space="preserve">Nonces, timestamps, session validation, integrity protection </w:t>
            </w:r>
          </w:p>
        </w:tc>
      </w:tr>
      <w:tr w:rsidR="00BD5AEE" w14:paraId="5A777BD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39B88CC" w14:textId="77777777" w:rsidR="00BD5AEE" w:rsidRDefault="00000000">
            <w:pPr>
              <w:spacing w:line="360" w:lineRule="auto"/>
            </w:pPr>
            <w:r>
              <w:rPr>
                <w:rFonts w:ascii="source sans 3" w:eastAsia="source sans 3" w:hAnsi="source sans 3" w:cs="source sans 3"/>
                <w:color w:val="000000"/>
                <w:sz w:val="17"/>
              </w:rPr>
              <w:t>Malware/Ransomware</w:t>
            </w:r>
          </w:p>
        </w:tc>
        <w:tc>
          <w:tcPr>
            <w:tcW w:w="0" w:type="auto"/>
            <w:tcBorders>
              <w:top w:val="single" w:sz="1" w:space="0" w:color="000000"/>
              <w:bottom w:val="single" w:sz="1" w:space="0" w:color="000000"/>
              <w:right w:val="single" w:sz="1" w:space="0" w:color="000000"/>
            </w:tcBorders>
          </w:tcPr>
          <w:p w14:paraId="60DBE52E" w14:textId="1749F53A" w:rsidR="00BD5AEE" w:rsidRDefault="00000000">
            <w:pPr>
              <w:spacing w:line="360" w:lineRule="auto"/>
            </w:pPr>
            <w:r>
              <w:rPr>
                <w:rFonts w:ascii="source sans 3" w:eastAsia="source sans 3" w:hAnsi="source sans 3" w:cs="source sans 3"/>
                <w:color w:val="000000"/>
                <w:sz w:val="17"/>
              </w:rPr>
              <w:t xml:space="preserve">High </w:t>
            </w:r>
          </w:p>
        </w:tc>
        <w:tc>
          <w:tcPr>
            <w:tcW w:w="0" w:type="auto"/>
            <w:tcBorders>
              <w:top w:val="single" w:sz="1" w:space="0" w:color="000000"/>
              <w:bottom w:val="single" w:sz="1" w:space="0" w:color="000000"/>
              <w:right w:val="single" w:sz="1" w:space="0" w:color="000000"/>
            </w:tcBorders>
          </w:tcPr>
          <w:p w14:paraId="6EF40534" w14:textId="0B517AAE" w:rsidR="00BD5AEE" w:rsidRDefault="00000000">
            <w:pPr>
              <w:spacing w:line="360" w:lineRule="auto"/>
            </w:pPr>
            <w:r>
              <w:rPr>
                <w:rFonts w:ascii="source sans 3" w:eastAsia="source sans 3" w:hAnsi="source sans 3" w:cs="source sans 3"/>
                <w:color w:val="000000"/>
                <w:sz w:val="17"/>
              </w:rPr>
              <w:t xml:space="preserve">Medium </w:t>
            </w:r>
          </w:p>
        </w:tc>
        <w:tc>
          <w:tcPr>
            <w:tcW w:w="0" w:type="auto"/>
            <w:tcBorders>
              <w:top w:val="single" w:sz="1" w:space="0" w:color="000000"/>
              <w:bottom w:val="single" w:sz="1" w:space="0" w:color="000000"/>
              <w:right w:val="single" w:sz="1" w:space="0" w:color="000000"/>
            </w:tcBorders>
          </w:tcPr>
          <w:p w14:paraId="22788085" w14:textId="4FDC1910" w:rsidR="00BD5AEE" w:rsidRDefault="00000000">
            <w:pPr>
              <w:spacing w:line="360" w:lineRule="auto"/>
            </w:pPr>
            <w:r>
              <w:rPr>
                <w:rFonts w:ascii="source sans 3" w:eastAsia="source sans 3" w:hAnsi="source sans 3" w:cs="source sans 3"/>
                <w:color w:val="000000"/>
                <w:sz w:val="17"/>
              </w:rPr>
              <w:t xml:space="preserve">High </w:t>
            </w:r>
          </w:p>
        </w:tc>
        <w:tc>
          <w:tcPr>
            <w:tcW w:w="0" w:type="auto"/>
            <w:tcBorders>
              <w:top w:val="single" w:sz="1" w:space="0" w:color="000000"/>
              <w:bottom w:val="single" w:sz="1" w:space="0" w:color="000000"/>
            </w:tcBorders>
          </w:tcPr>
          <w:p w14:paraId="03E74610" w14:textId="49BA48F6" w:rsidR="00BD5AEE" w:rsidRDefault="00000000">
            <w:pPr>
              <w:spacing w:line="360" w:lineRule="auto"/>
            </w:pPr>
            <w:r>
              <w:rPr>
                <w:rFonts w:ascii="source sans 3" w:eastAsia="source sans 3" w:hAnsi="source sans 3" w:cs="source sans 3"/>
                <w:color w:val="000000"/>
                <w:sz w:val="17"/>
              </w:rPr>
              <w:t xml:space="preserve">Segmentation, endpoint protection, backups, monitoring </w:t>
            </w:r>
          </w:p>
        </w:tc>
      </w:tr>
      <w:tr w:rsidR="00BD5AEE" w14:paraId="517C469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D62758" w14:textId="77777777" w:rsidR="00BD5AEE" w:rsidRDefault="00000000">
            <w:pPr>
              <w:spacing w:line="360" w:lineRule="auto"/>
            </w:pPr>
            <w:r>
              <w:rPr>
                <w:rFonts w:ascii="source sans 3" w:eastAsia="source sans 3" w:hAnsi="source sans 3" w:cs="source sans 3"/>
                <w:color w:val="000000"/>
                <w:sz w:val="17"/>
              </w:rPr>
              <w:t>Insider Threat</w:t>
            </w:r>
          </w:p>
        </w:tc>
        <w:tc>
          <w:tcPr>
            <w:tcW w:w="0" w:type="auto"/>
            <w:tcBorders>
              <w:top w:val="single" w:sz="1" w:space="0" w:color="000000"/>
              <w:bottom w:val="single" w:sz="1" w:space="0" w:color="000000"/>
              <w:right w:val="single" w:sz="1" w:space="0" w:color="000000"/>
            </w:tcBorders>
          </w:tcPr>
          <w:p w14:paraId="16B01EB5" w14:textId="0A8DF085" w:rsidR="00BD5AEE" w:rsidRDefault="00000000">
            <w:pPr>
              <w:spacing w:line="360" w:lineRule="auto"/>
            </w:pPr>
            <w:r>
              <w:rPr>
                <w:rFonts w:ascii="source sans 3" w:eastAsia="source sans 3" w:hAnsi="source sans 3" w:cs="source sans 3"/>
                <w:color w:val="000000"/>
                <w:sz w:val="17"/>
              </w:rPr>
              <w:t xml:space="preserve">High </w:t>
            </w:r>
          </w:p>
        </w:tc>
        <w:tc>
          <w:tcPr>
            <w:tcW w:w="0" w:type="auto"/>
            <w:tcBorders>
              <w:top w:val="single" w:sz="1" w:space="0" w:color="000000"/>
              <w:bottom w:val="single" w:sz="1" w:space="0" w:color="000000"/>
              <w:right w:val="single" w:sz="1" w:space="0" w:color="000000"/>
            </w:tcBorders>
          </w:tcPr>
          <w:p w14:paraId="7D96C105" w14:textId="0250C80E" w:rsidR="00BD5AEE" w:rsidRDefault="00000000">
            <w:pPr>
              <w:spacing w:line="360" w:lineRule="auto"/>
            </w:pPr>
            <w:r>
              <w:rPr>
                <w:rFonts w:ascii="source sans 3" w:eastAsia="source sans 3" w:hAnsi="source sans 3" w:cs="source sans 3"/>
                <w:color w:val="000000"/>
                <w:sz w:val="17"/>
              </w:rPr>
              <w:t xml:space="preserve">Medium </w:t>
            </w:r>
          </w:p>
        </w:tc>
        <w:tc>
          <w:tcPr>
            <w:tcW w:w="0" w:type="auto"/>
            <w:tcBorders>
              <w:top w:val="single" w:sz="1" w:space="0" w:color="000000"/>
              <w:bottom w:val="single" w:sz="1" w:space="0" w:color="000000"/>
              <w:right w:val="single" w:sz="1" w:space="0" w:color="000000"/>
            </w:tcBorders>
          </w:tcPr>
          <w:p w14:paraId="1B77D0A8" w14:textId="70177B3A" w:rsidR="00BD5AEE" w:rsidRDefault="00000000">
            <w:pPr>
              <w:spacing w:line="360" w:lineRule="auto"/>
            </w:pPr>
            <w:r>
              <w:rPr>
                <w:rFonts w:ascii="source sans 3" w:eastAsia="source sans 3" w:hAnsi="source sans 3" w:cs="source sans 3"/>
                <w:color w:val="000000"/>
                <w:sz w:val="17"/>
              </w:rPr>
              <w:t xml:space="preserve">High </w:t>
            </w:r>
          </w:p>
        </w:tc>
        <w:tc>
          <w:tcPr>
            <w:tcW w:w="0" w:type="auto"/>
            <w:tcBorders>
              <w:top w:val="single" w:sz="1" w:space="0" w:color="000000"/>
              <w:bottom w:val="single" w:sz="1" w:space="0" w:color="000000"/>
            </w:tcBorders>
          </w:tcPr>
          <w:p w14:paraId="5E8C8FFA" w14:textId="4FDF5E7A" w:rsidR="00BD5AEE" w:rsidRDefault="00000000">
            <w:pPr>
              <w:spacing w:line="360" w:lineRule="auto"/>
            </w:pPr>
            <w:r>
              <w:rPr>
                <w:rFonts w:ascii="source sans 3" w:eastAsia="source sans 3" w:hAnsi="source sans 3" w:cs="source sans 3"/>
                <w:color w:val="000000"/>
                <w:sz w:val="17"/>
              </w:rPr>
              <w:t xml:space="preserve">Least privilege, logging, approvals, role-based access control </w:t>
            </w:r>
          </w:p>
        </w:tc>
      </w:tr>
    </w:tbl>
    <w:p w14:paraId="27AC9706" w14:textId="77777777" w:rsidR="00BD5AEE" w:rsidRDefault="00BD5AEE"/>
    <w:p w14:paraId="232A934E" w14:textId="77777777" w:rsidR="00BD5AEE" w:rsidRDefault="00000000">
      <w:pPr>
        <w:spacing w:before="315" w:after="105" w:line="360" w:lineRule="auto"/>
        <w:ind w:left="-30"/>
      </w:pPr>
      <w:bookmarkStart w:id="33" w:name="risk_interpretation"/>
      <w:r>
        <w:rPr>
          <w:rFonts w:ascii="source serif 4" w:eastAsia="source serif 4" w:hAnsi="source serif 4" w:cs="source serif 4"/>
          <w:b/>
          <w:color w:val="000000"/>
          <w:sz w:val="24"/>
        </w:rPr>
        <w:t>Risk Interpretation</w:t>
      </w:r>
      <w:bookmarkEnd w:id="33"/>
    </w:p>
    <w:p w14:paraId="46E0F8C6" w14:textId="490888BD" w:rsidR="0060006C" w:rsidRDefault="00000000">
      <w:pPr>
        <w:spacing w:after="210" w:line="360" w:lineRule="auto"/>
        <w:rPr>
          <w:rFonts w:ascii="source serif 4" w:eastAsia="source serif 4" w:hAnsi="source serif 4" w:cs="source serif 4"/>
          <w:color w:val="000000"/>
        </w:rPr>
      </w:pPr>
      <w:r>
        <w:rPr>
          <w:rFonts w:ascii="source serif 4" w:eastAsia="source serif 4" w:hAnsi="source serif 4" w:cs="source serif 4"/>
          <w:color w:val="000000"/>
        </w:rPr>
        <w:lastRenderedPageBreak/>
        <w:t>The highest-priority risks are the ones that can quickly affect plant availability, trust in control commands, or firmware integrity. That is why DDoS, MITM, weak authentication, and firmware tampering should usually be treated as front-line assessment items in an IIoT environment.</w:t>
      </w:r>
    </w:p>
    <w:p w14:paraId="3FB4A231" w14:textId="77777777" w:rsidR="0060006C" w:rsidRDefault="0060006C" w:rsidP="0060006C">
      <w:pPr>
        <w:spacing w:before="315" w:after="105" w:line="360" w:lineRule="auto"/>
        <w:ind w:left="-30"/>
      </w:pPr>
      <w:bookmarkStart w:id="34" w:name="security_architecture_diagram"/>
      <w:r>
        <w:rPr>
          <w:rFonts w:ascii="source serif 4" w:eastAsia="source serif 4" w:hAnsi="source serif 4" w:cs="source serif 4"/>
          <w:b/>
          <w:color w:val="000000"/>
          <w:sz w:val="24"/>
        </w:rPr>
        <w:t>Security Architecture Diagram</w:t>
      </w:r>
      <w:bookmarkEnd w:id="34"/>
    </w:p>
    <w:p w14:paraId="0FBEF89C" w14:textId="77777777" w:rsidR="0060006C" w:rsidRDefault="0060006C" w:rsidP="0060006C">
      <w:pPr>
        <w:spacing w:after="210" w:line="360" w:lineRule="auto"/>
      </w:pPr>
      <w:r>
        <w:rPr>
          <w:rFonts w:ascii="source serif 4" w:eastAsia="source serif 4" w:hAnsi="source serif 4" w:cs="source serif 4"/>
          <w:color w:val="000000"/>
        </w:rPr>
        <w:t>The following architecture shows where major controls are applied in a typical IIoT system.</w:t>
      </w:r>
    </w:p>
    <w:p w14:paraId="3361CDCF" w14:textId="514B0A8F" w:rsidR="00BD5AEE" w:rsidRDefault="0060006C">
      <w:pPr>
        <w:spacing w:after="210" w:line="360" w:lineRule="auto"/>
      </w:pPr>
      <w:r>
        <w:rPr>
          <w:noProof/>
        </w:rPr>
        <w:drawing>
          <wp:inline distT="0" distB="0" distL="0" distR="0" wp14:anchorId="47EA52C5" wp14:editId="34ACE03C">
            <wp:extent cx="6038850" cy="4025900"/>
            <wp:effectExtent l="0" t="0" r="0" b="0"/>
            <wp:docPr id="1995274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74280" name="Picture 1995274280"/>
                    <pic:cNvPicPr/>
                  </pic:nvPicPr>
                  <pic:blipFill>
                    <a:blip r:embed="rId5" cstate="print">
                      <a:extLst>
                        <a:ext uri="{28A0092B-C50C-407E-A947-70E740481C1C}">
                          <a14:useLocalDpi xmlns:a14="http://schemas.microsoft.com/office/drawing/2010/main" val="0"/>
                        </a:ext>
                      </a:extLst>
                    </a:blip>
                    <a:stretch>
                      <a:fillRect/>
                    </a:stretch>
                  </pic:blipFill>
                  <pic:spPr>
                    <a:xfrm>
                      <a:off x="0" y="0"/>
                      <a:ext cx="6038850" cy="4025900"/>
                    </a:xfrm>
                    <a:prstGeom prst="rect">
                      <a:avLst/>
                    </a:prstGeom>
                  </pic:spPr>
                </pic:pic>
              </a:graphicData>
            </a:graphic>
          </wp:inline>
        </w:drawing>
      </w:r>
    </w:p>
    <w:p w14:paraId="4A215A10" w14:textId="77777777" w:rsidR="00BD5AEE" w:rsidRDefault="00000000">
      <w:pPr>
        <w:spacing w:before="315" w:after="105" w:line="360" w:lineRule="auto"/>
        <w:ind w:left="-30"/>
      </w:pPr>
      <w:bookmarkStart w:id="35" w:name="security_recommendations"/>
      <w:r>
        <w:rPr>
          <w:rFonts w:ascii="source serif 4" w:eastAsia="source serif 4" w:hAnsi="source serif 4" w:cs="source serif 4"/>
          <w:b/>
          <w:color w:val="000000"/>
          <w:sz w:val="24"/>
        </w:rPr>
        <w:t>Security Recommendations</w:t>
      </w:r>
      <w:bookmarkEnd w:id="35"/>
    </w:p>
    <w:p w14:paraId="3D25B452" w14:textId="77777777" w:rsidR="0060006C" w:rsidRPr="0060006C" w:rsidRDefault="0060006C" w:rsidP="0060006C">
      <w:pPr>
        <w:numPr>
          <w:ilvl w:val="0"/>
          <w:numId w:val="3"/>
        </w:numPr>
        <w:tabs>
          <w:tab w:val="clear" w:pos="900"/>
          <w:tab w:val="num" w:pos="720"/>
        </w:tabs>
        <w:spacing w:before="105" w:after="105" w:line="276" w:lineRule="auto"/>
        <w:rPr>
          <w:rFonts w:ascii="source serif 4" w:eastAsia="source serif 4" w:hAnsi="source serif 4" w:cs="source serif 4"/>
          <w:color w:val="000000"/>
        </w:rPr>
      </w:pPr>
      <w:r w:rsidRPr="0060006C">
        <w:rPr>
          <w:rFonts w:ascii="source serif 4" w:eastAsia="source serif 4" w:hAnsi="source serif 4" w:cs="source serif 4"/>
          <w:color w:val="000000"/>
        </w:rPr>
        <w:t xml:space="preserve">Sensors and actuators collect operational data from industrial equipment. </w:t>
      </w:r>
    </w:p>
    <w:p w14:paraId="6A838AFF" w14:textId="77777777" w:rsidR="0060006C" w:rsidRPr="0060006C" w:rsidRDefault="0060006C" w:rsidP="0060006C">
      <w:pPr>
        <w:numPr>
          <w:ilvl w:val="0"/>
          <w:numId w:val="3"/>
        </w:numPr>
        <w:tabs>
          <w:tab w:val="clear" w:pos="900"/>
          <w:tab w:val="num" w:pos="720"/>
        </w:tabs>
        <w:spacing w:before="105" w:after="105" w:line="276" w:lineRule="auto"/>
        <w:rPr>
          <w:rFonts w:ascii="source serif 4" w:eastAsia="source serif 4" w:hAnsi="source serif 4" w:cs="source serif 4"/>
          <w:color w:val="000000"/>
        </w:rPr>
      </w:pPr>
      <w:r w:rsidRPr="0060006C">
        <w:rPr>
          <w:rFonts w:ascii="source serif 4" w:eastAsia="source serif 4" w:hAnsi="source serif 4" w:cs="source serif 4"/>
          <w:color w:val="000000"/>
        </w:rPr>
        <w:t xml:space="preserve">Data is securely transmitted using MQTT over TLS/DTLS, ensuring encryption and integrity. </w:t>
      </w:r>
    </w:p>
    <w:p w14:paraId="53785757" w14:textId="77777777" w:rsidR="0060006C" w:rsidRPr="0060006C" w:rsidRDefault="0060006C" w:rsidP="0060006C">
      <w:pPr>
        <w:numPr>
          <w:ilvl w:val="0"/>
          <w:numId w:val="3"/>
        </w:numPr>
        <w:tabs>
          <w:tab w:val="clear" w:pos="900"/>
          <w:tab w:val="num" w:pos="720"/>
        </w:tabs>
        <w:spacing w:before="105" w:after="105" w:line="276" w:lineRule="auto"/>
        <w:rPr>
          <w:rFonts w:ascii="source serif 4" w:eastAsia="source serif 4" w:hAnsi="source serif 4" w:cs="source serif 4"/>
          <w:color w:val="000000"/>
        </w:rPr>
      </w:pPr>
      <w:r w:rsidRPr="0060006C">
        <w:rPr>
          <w:rFonts w:ascii="source serif 4" w:eastAsia="source serif 4" w:hAnsi="source serif 4" w:cs="source serif 4"/>
          <w:color w:val="000000"/>
        </w:rPr>
        <w:t xml:space="preserve">The Edge Gateway aggregates, filters, and preprocesses the data while authenticating connected devices. </w:t>
      </w:r>
    </w:p>
    <w:p w14:paraId="4ABB845D" w14:textId="77777777" w:rsidR="0060006C" w:rsidRPr="0060006C" w:rsidRDefault="0060006C" w:rsidP="0060006C">
      <w:pPr>
        <w:numPr>
          <w:ilvl w:val="0"/>
          <w:numId w:val="3"/>
        </w:numPr>
        <w:tabs>
          <w:tab w:val="clear" w:pos="900"/>
          <w:tab w:val="num" w:pos="720"/>
        </w:tabs>
        <w:spacing w:before="105" w:after="105" w:line="276" w:lineRule="auto"/>
        <w:rPr>
          <w:rFonts w:ascii="source serif 4" w:eastAsia="source serif 4" w:hAnsi="source serif 4" w:cs="source serif 4"/>
          <w:color w:val="000000"/>
        </w:rPr>
      </w:pPr>
      <w:r w:rsidRPr="0060006C">
        <w:rPr>
          <w:rFonts w:ascii="source serif 4" w:eastAsia="source serif 4" w:hAnsi="source serif 4" w:cs="source serif 4"/>
          <w:color w:val="000000"/>
        </w:rPr>
        <w:t xml:space="preserve">Traffic passes through a Firewall, which filters unauthorized connections and enforces network policies. </w:t>
      </w:r>
    </w:p>
    <w:p w14:paraId="16D1C2DF" w14:textId="77777777" w:rsidR="0060006C" w:rsidRPr="0060006C" w:rsidRDefault="0060006C" w:rsidP="0060006C">
      <w:pPr>
        <w:numPr>
          <w:ilvl w:val="0"/>
          <w:numId w:val="3"/>
        </w:numPr>
        <w:tabs>
          <w:tab w:val="clear" w:pos="900"/>
          <w:tab w:val="num" w:pos="720"/>
        </w:tabs>
        <w:spacing w:before="105" w:after="105" w:line="276" w:lineRule="auto"/>
        <w:rPr>
          <w:rFonts w:ascii="source serif 4" w:eastAsia="source serif 4" w:hAnsi="source serif 4" w:cs="source serif 4"/>
          <w:color w:val="000000"/>
        </w:rPr>
      </w:pPr>
      <w:r w:rsidRPr="0060006C">
        <w:rPr>
          <w:rFonts w:ascii="source serif 4" w:eastAsia="source serif 4" w:hAnsi="source serif 4" w:cs="source serif 4"/>
          <w:color w:val="000000"/>
        </w:rPr>
        <w:t xml:space="preserve">An IDS/IPS monitors the traffic, detecting and blocking malicious activity such as malware, port scanning, or DDoS attacks. </w:t>
      </w:r>
    </w:p>
    <w:p w14:paraId="082DABBF" w14:textId="77777777" w:rsidR="0060006C" w:rsidRPr="0060006C" w:rsidRDefault="0060006C" w:rsidP="0060006C">
      <w:pPr>
        <w:numPr>
          <w:ilvl w:val="0"/>
          <w:numId w:val="3"/>
        </w:numPr>
        <w:tabs>
          <w:tab w:val="clear" w:pos="900"/>
          <w:tab w:val="num" w:pos="720"/>
        </w:tabs>
        <w:spacing w:before="105" w:after="105" w:line="276" w:lineRule="auto"/>
        <w:rPr>
          <w:rFonts w:ascii="source serif 4" w:eastAsia="source serif 4" w:hAnsi="source serif 4" w:cs="source serif 4"/>
          <w:color w:val="000000"/>
        </w:rPr>
      </w:pPr>
      <w:r w:rsidRPr="0060006C">
        <w:rPr>
          <w:rFonts w:ascii="source serif 4" w:eastAsia="source serif 4" w:hAnsi="source serif 4" w:cs="source serif 4"/>
          <w:color w:val="000000"/>
        </w:rPr>
        <w:lastRenderedPageBreak/>
        <w:t xml:space="preserve">The Authentication and Authorization Layer </w:t>
      </w:r>
      <w:proofErr w:type="gramStart"/>
      <w:r w:rsidRPr="0060006C">
        <w:rPr>
          <w:rFonts w:ascii="source serif 4" w:eastAsia="source serif 4" w:hAnsi="source serif 4" w:cs="source serif 4"/>
          <w:color w:val="000000"/>
        </w:rPr>
        <w:t>verifies</w:t>
      </w:r>
      <w:proofErr w:type="gramEnd"/>
      <w:r w:rsidRPr="0060006C">
        <w:rPr>
          <w:rFonts w:ascii="source serif 4" w:eastAsia="source serif 4" w:hAnsi="source serif 4" w:cs="source serif 4"/>
          <w:color w:val="000000"/>
        </w:rPr>
        <w:t xml:space="preserve"> the identity of users and devices and grants access based on predefined roles (RBAC/ABAC). </w:t>
      </w:r>
    </w:p>
    <w:p w14:paraId="5B2283D8" w14:textId="77777777" w:rsidR="0060006C" w:rsidRPr="0060006C" w:rsidRDefault="0060006C" w:rsidP="0060006C">
      <w:pPr>
        <w:numPr>
          <w:ilvl w:val="0"/>
          <w:numId w:val="3"/>
        </w:numPr>
        <w:tabs>
          <w:tab w:val="clear" w:pos="900"/>
          <w:tab w:val="num" w:pos="720"/>
        </w:tabs>
        <w:spacing w:before="105" w:after="105" w:line="276" w:lineRule="auto"/>
        <w:rPr>
          <w:rFonts w:ascii="source serif 4" w:eastAsia="source serif 4" w:hAnsi="source serif 4" w:cs="source serif 4"/>
          <w:color w:val="000000"/>
        </w:rPr>
      </w:pPr>
      <w:r w:rsidRPr="0060006C">
        <w:rPr>
          <w:rFonts w:ascii="source serif 4" w:eastAsia="source serif 4" w:hAnsi="source serif 4" w:cs="source serif 4"/>
          <w:color w:val="000000"/>
        </w:rPr>
        <w:t xml:space="preserve">Authenticated data is transmitted to the Cloud/Data </w:t>
      </w:r>
      <w:proofErr w:type="spellStart"/>
      <w:r w:rsidRPr="0060006C">
        <w:rPr>
          <w:rFonts w:ascii="source serif 4" w:eastAsia="source serif 4" w:hAnsi="source serif 4" w:cs="source serif 4"/>
          <w:color w:val="000000"/>
        </w:rPr>
        <w:t>Center</w:t>
      </w:r>
      <w:proofErr w:type="spellEnd"/>
      <w:r w:rsidRPr="0060006C">
        <w:rPr>
          <w:rFonts w:ascii="source serif 4" w:eastAsia="source serif 4" w:hAnsi="source serif 4" w:cs="source serif 4"/>
          <w:color w:val="000000"/>
        </w:rPr>
        <w:t xml:space="preserve"> through a secure VPN/TLS tunnel. </w:t>
      </w:r>
    </w:p>
    <w:p w14:paraId="5628DDEB" w14:textId="77777777" w:rsidR="0060006C" w:rsidRPr="0060006C" w:rsidRDefault="0060006C" w:rsidP="0060006C">
      <w:pPr>
        <w:numPr>
          <w:ilvl w:val="0"/>
          <w:numId w:val="3"/>
        </w:numPr>
        <w:tabs>
          <w:tab w:val="clear" w:pos="900"/>
          <w:tab w:val="num" w:pos="720"/>
        </w:tabs>
        <w:spacing w:before="105" w:after="105" w:line="276" w:lineRule="auto"/>
        <w:rPr>
          <w:rFonts w:ascii="source serif 4" w:eastAsia="source serif 4" w:hAnsi="source serif 4" w:cs="source serif 4"/>
          <w:color w:val="000000"/>
        </w:rPr>
      </w:pPr>
      <w:r w:rsidRPr="0060006C">
        <w:rPr>
          <w:rFonts w:ascii="source serif 4" w:eastAsia="source serif 4" w:hAnsi="source serif 4" w:cs="source serif 4"/>
          <w:color w:val="000000"/>
        </w:rPr>
        <w:t xml:space="preserve">The cloud platform processes, </w:t>
      </w:r>
      <w:proofErr w:type="spellStart"/>
      <w:r w:rsidRPr="0060006C">
        <w:rPr>
          <w:rFonts w:ascii="source serif 4" w:eastAsia="source serif 4" w:hAnsi="source serif 4" w:cs="source serif 4"/>
          <w:color w:val="000000"/>
        </w:rPr>
        <w:t>analyzes</w:t>
      </w:r>
      <w:proofErr w:type="spellEnd"/>
      <w:r w:rsidRPr="0060006C">
        <w:rPr>
          <w:rFonts w:ascii="source serif 4" w:eastAsia="source serif 4" w:hAnsi="source serif 4" w:cs="source serif 4"/>
          <w:color w:val="000000"/>
        </w:rPr>
        <w:t xml:space="preserve">, and stores industrial data while hosting analytics, dashboards, and applications. </w:t>
      </w:r>
    </w:p>
    <w:p w14:paraId="78D66226" w14:textId="77777777" w:rsidR="0060006C" w:rsidRPr="0060006C" w:rsidRDefault="0060006C" w:rsidP="0060006C">
      <w:pPr>
        <w:numPr>
          <w:ilvl w:val="0"/>
          <w:numId w:val="3"/>
        </w:numPr>
        <w:tabs>
          <w:tab w:val="clear" w:pos="900"/>
          <w:tab w:val="num" w:pos="720"/>
        </w:tabs>
        <w:spacing w:before="105" w:after="105" w:line="276" w:lineRule="auto"/>
        <w:rPr>
          <w:rFonts w:ascii="source serif 4" w:eastAsia="source serif 4" w:hAnsi="source serif 4" w:cs="source serif 4"/>
          <w:color w:val="000000"/>
        </w:rPr>
      </w:pPr>
      <w:r w:rsidRPr="0060006C">
        <w:rPr>
          <w:rFonts w:ascii="source serif 4" w:eastAsia="source serif 4" w:hAnsi="source serif 4" w:cs="source serif 4"/>
          <w:color w:val="000000"/>
        </w:rPr>
        <w:t xml:space="preserve">Sensitive information is protected in an AES-encrypted database, safeguarding data at rest. </w:t>
      </w:r>
    </w:p>
    <w:p w14:paraId="53804D94" w14:textId="77777777" w:rsidR="0060006C" w:rsidRPr="0060006C" w:rsidRDefault="0060006C" w:rsidP="0060006C">
      <w:pPr>
        <w:numPr>
          <w:ilvl w:val="0"/>
          <w:numId w:val="3"/>
        </w:numPr>
        <w:tabs>
          <w:tab w:val="clear" w:pos="900"/>
          <w:tab w:val="num" w:pos="720"/>
        </w:tabs>
        <w:spacing w:before="105" w:after="105" w:line="276" w:lineRule="auto"/>
        <w:rPr>
          <w:rFonts w:ascii="source serif 4" w:eastAsia="source serif 4" w:hAnsi="source serif 4" w:cs="source serif 4"/>
          <w:color w:val="000000"/>
        </w:rPr>
      </w:pPr>
      <w:r w:rsidRPr="0060006C">
        <w:rPr>
          <w:rFonts w:ascii="source serif 4" w:eastAsia="source serif 4" w:hAnsi="source serif 4" w:cs="source serif 4"/>
          <w:color w:val="000000"/>
        </w:rPr>
        <w:t xml:space="preserve">PKI and Access Control manage digital certificates, cryptographic keys, and secure device identities for trusted communication. </w:t>
      </w:r>
    </w:p>
    <w:p w14:paraId="7C2D17AE" w14:textId="77777777" w:rsidR="0060006C" w:rsidRPr="0060006C" w:rsidRDefault="0060006C" w:rsidP="0060006C">
      <w:pPr>
        <w:numPr>
          <w:ilvl w:val="0"/>
          <w:numId w:val="3"/>
        </w:numPr>
        <w:tabs>
          <w:tab w:val="clear" w:pos="900"/>
          <w:tab w:val="num" w:pos="720"/>
        </w:tabs>
        <w:spacing w:before="105" w:after="105" w:line="276" w:lineRule="auto"/>
        <w:rPr>
          <w:rFonts w:ascii="source serif 4" w:eastAsia="source serif 4" w:hAnsi="source serif 4" w:cs="source serif 4"/>
          <w:color w:val="000000"/>
        </w:rPr>
      </w:pPr>
      <w:r w:rsidRPr="0060006C">
        <w:rPr>
          <w:rFonts w:ascii="source serif 4" w:eastAsia="source serif 4" w:hAnsi="source serif 4" w:cs="source serif 4"/>
          <w:color w:val="000000"/>
        </w:rPr>
        <w:t xml:space="preserve">A Monitoring Dashboard and Logging System continuously tracks system health, records security events, generates alerts, and supports incident response. </w:t>
      </w:r>
    </w:p>
    <w:p w14:paraId="3DF2FE96" w14:textId="475282A4" w:rsidR="00BD5AEE" w:rsidRDefault="00BD5AEE" w:rsidP="0060006C">
      <w:pPr>
        <w:spacing w:after="210" w:line="276" w:lineRule="auto"/>
      </w:pPr>
    </w:p>
    <w:sectPr w:rsidR="00BD5AEE">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ource serif 4">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D1A4D"/>
    <w:multiLevelType w:val="hybridMultilevel"/>
    <w:tmpl w:val="31A8899E"/>
    <w:lvl w:ilvl="0" w:tplc="0448B736">
      <w:start w:val="1"/>
      <w:numFmt w:val="bullet"/>
      <w:lvlText w:val=""/>
      <w:lvlJc w:val="left"/>
      <w:pPr>
        <w:tabs>
          <w:tab w:val="num" w:pos="900"/>
        </w:tabs>
        <w:ind w:left="540" w:hanging="360"/>
      </w:pPr>
      <w:rPr>
        <w:rFonts w:ascii="Symbol" w:hAnsi="Symbol" w:hint="default"/>
      </w:rPr>
    </w:lvl>
    <w:lvl w:ilvl="1" w:tplc="1E2843C0">
      <w:numFmt w:val="decimal"/>
      <w:lvlText w:val=""/>
      <w:lvlJc w:val="left"/>
    </w:lvl>
    <w:lvl w:ilvl="2" w:tplc="A2DC4D0A">
      <w:numFmt w:val="decimal"/>
      <w:lvlText w:val=""/>
      <w:lvlJc w:val="left"/>
    </w:lvl>
    <w:lvl w:ilvl="3" w:tplc="E996D00C">
      <w:numFmt w:val="decimal"/>
      <w:lvlText w:val=""/>
      <w:lvlJc w:val="left"/>
    </w:lvl>
    <w:lvl w:ilvl="4" w:tplc="F6FCD27A">
      <w:numFmt w:val="decimal"/>
      <w:lvlText w:val=""/>
      <w:lvlJc w:val="left"/>
    </w:lvl>
    <w:lvl w:ilvl="5" w:tplc="390A9946">
      <w:numFmt w:val="decimal"/>
      <w:lvlText w:val=""/>
      <w:lvlJc w:val="left"/>
    </w:lvl>
    <w:lvl w:ilvl="6" w:tplc="893A216C">
      <w:numFmt w:val="decimal"/>
      <w:lvlText w:val=""/>
      <w:lvlJc w:val="left"/>
    </w:lvl>
    <w:lvl w:ilvl="7" w:tplc="762043D6">
      <w:numFmt w:val="decimal"/>
      <w:lvlText w:val=""/>
      <w:lvlJc w:val="left"/>
    </w:lvl>
    <w:lvl w:ilvl="8" w:tplc="BEA6988E">
      <w:numFmt w:val="decimal"/>
      <w:lvlText w:val=""/>
      <w:lvlJc w:val="left"/>
    </w:lvl>
  </w:abstractNum>
  <w:abstractNum w:abstractNumId="1" w15:restartNumberingAfterBreak="0">
    <w:nsid w:val="33B42D4A"/>
    <w:multiLevelType w:val="hybridMultilevel"/>
    <w:tmpl w:val="38E8A8D6"/>
    <w:lvl w:ilvl="0" w:tplc="A29E0B1C">
      <w:start w:val="1"/>
      <w:numFmt w:val="bullet"/>
      <w:lvlText w:val=""/>
      <w:lvlJc w:val="left"/>
      <w:pPr>
        <w:tabs>
          <w:tab w:val="num" w:pos="900"/>
        </w:tabs>
        <w:ind w:left="540" w:hanging="360"/>
      </w:pPr>
      <w:rPr>
        <w:rFonts w:ascii="Symbol" w:hAnsi="Symbol" w:hint="default"/>
      </w:rPr>
    </w:lvl>
    <w:lvl w:ilvl="1" w:tplc="765AE608">
      <w:numFmt w:val="decimal"/>
      <w:lvlText w:val=""/>
      <w:lvlJc w:val="left"/>
    </w:lvl>
    <w:lvl w:ilvl="2" w:tplc="6BF4F250">
      <w:numFmt w:val="decimal"/>
      <w:lvlText w:val=""/>
      <w:lvlJc w:val="left"/>
    </w:lvl>
    <w:lvl w:ilvl="3" w:tplc="7A801908">
      <w:numFmt w:val="decimal"/>
      <w:lvlText w:val=""/>
      <w:lvlJc w:val="left"/>
    </w:lvl>
    <w:lvl w:ilvl="4" w:tplc="BBF4217A">
      <w:numFmt w:val="decimal"/>
      <w:lvlText w:val=""/>
      <w:lvlJc w:val="left"/>
    </w:lvl>
    <w:lvl w:ilvl="5" w:tplc="99E8EB90">
      <w:numFmt w:val="decimal"/>
      <w:lvlText w:val=""/>
      <w:lvlJc w:val="left"/>
    </w:lvl>
    <w:lvl w:ilvl="6" w:tplc="7C4C040A">
      <w:numFmt w:val="decimal"/>
      <w:lvlText w:val=""/>
      <w:lvlJc w:val="left"/>
    </w:lvl>
    <w:lvl w:ilvl="7" w:tplc="528E967A">
      <w:numFmt w:val="decimal"/>
      <w:lvlText w:val=""/>
      <w:lvlJc w:val="left"/>
    </w:lvl>
    <w:lvl w:ilvl="8" w:tplc="53DEE0DE">
      <w:numFmt w:val="decimal"/>
      <w:lvlText w:val=""/>
      <w:lvlJc w:val="left"/>
    </w:lvl>
  </w:abstractNum>
  <w:abstractNum w:abstractNumId="2" w15:restartNumberingAfterBreak="0">
    <w:nsid w:val="395003FA"/>
    <w:multiLevelType w:val="multilevel"/>
    <w:tmpl w:val="5FB2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28564B"/>
    <w:multiLevelType w:val="hybridMultilevel"/>
    <w:tmpl w:val="8D74FC50"/>
    <w:lvl w:ilvl="0" w:tplc="4F4EF61C">
      <w:start w:val="1"/>
      <w:numFmt w:val="bullet"/>
      <w:lvlText w:val=""/>
      <w:lvlJc w:val="left"/>
      <w:pPr>
        <w:tabs>
          <w:tab w:val="num" w:pos="900"/>
        </w:tabs>
        <w:ind w:left="540" w:hanging="360"/>
      </w:pPr>
      <w:rPr>
        <w:rFonts w:ascii="Symbol" w:hAnsi="Symbol" w:hint="default"/>
      </w:rPr>
    </w:lvl>
    <w:lvl w:ilvl="1" w:tplc="4F8E6B9E">
      <w:numFmt w:val="decimal"/>
      <w:lvlText w:val=""/>
      <w:lvlJc w:val="left"/>
    </w:lvl>
    <w:lvl w:ilvl="2" w:tplc="F9F6098A">
      <w:numFmt w:val="decimal"/>
      <w:lvlText w:val=""/>
      <w:lvlJc w:val="left"/>
    </w:lvl>
    <w:lvl w:ilvl="3" w:tplc="7574646A">
      <w:numFmt w:val="decimal"/>
      <w:lvlText w:val=""/>
      <w:lvlJc w:val="left"/>
    </w:lvl>
    <w:lvl w:ilvl="4" w:tplc="AEB26380">
      <w:numFmt w:val="decimal"/>
      <w:lvlText w:val=""/>
      <w:lvlJc w:val="left"/>
    </w:lvl>
    <w:lvl w:ilvl="5" w:tplc="BA84C82A">
      <w:numFmt w:val="decimal"/>
      <w:lvlText w:val=""/>
      <w:lvlJc w:val="left"/>
    </w:lvl>
    <w:lvl w:ilvl="6" w:tplc="9B2A0FFC">
      <w:numFmt w:val="decimal"/>
      <w:lvlText w:val=""/>
      <w:lvlJc w:val="left"/>
    </w:lvl>
    <w:lvl w:ilvl="7" w:tplc="9B4636F0">
      <w:numFmt w:val="decimal"/>
      <w:lvlText w:val=""/>
      <w:lvlJc w:val="left"/>
    </w:lvl>
    <w:lvl w:ilvl="8" w:tplc="ED5691E0">
      <w:numFmt w:val="decimal"/>
      <w:lvlText w:val=""/>
      <w:lvlJc w:val="left"/>
    </w:lvl>
  </w:abstractNum>
  <w:abstractNum w:abstractNumId="4" w15:restartNumberingAfterBreak="0">
    <w:nsid w:val="3EE52AA2"/>
    <w:multiLevelType w:val="hybridMultilevel"/>
    <w:tmpl w:val="73E8F8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2917EED"/>
    <w:multiLevelType w:val="hybridMultilevel"/>
    <w:tmpl w:val="28E06ED6"/>
    <w:lvl w:ilvl="0" w:tplc="9E604F3A">
      <w:start w:val="1"/>
      <w:numFmt w:val="bullet"/>
      <w:lvlText w:val=""/>
      <w:lvlJc w:val="left"/>
      <w:pPr>
        <w:tabs>
          <w:tab w:val="num" w:pos="900"/>
        </w:tabs>
        <w:ind w:left="540" w:hanging="360"/>
      </w:pPr>
      <w:rPr>
        <w:rFonts w:ascii="Symbol" w:hAnsi="Symbol" w:hint="default"/>
      </w:rPr>
    </w:lvl>
    <w:lvl w:ilvl="1" w:tplc="D6588A82">
      <w:numFmt w:val="decimal"/>
      <w:lvlText w:val=""/>
      <w:lvlJc w:val="left"/>
    </w:lvl>
    <w:lvl w:ilvl="2" w:tplc="120C9BEE">
      <w:numFmt w:val="decimal"/>
      <w:lvlText w:val=""/>
      <w:lvlJc w:val="left"/>
    </w:lvl>
    <w:lvl w:ilvl="3" w:tplc="67221AA6">
      <w:numFmt w:val="decimal"/>
      <w:lvlText w:val=""/>
      <w:lvlJc w:val="left"/>
    </w:lvl>
    <w:lvl w:ilvl="4" w:tplc="CF1CEB04">
      <w:numFmt w:val="decimal"/>
      <w:lvlText w:val=""/>
      <w:lvlJc w:val="left"/>
    </w:lvl>
    <w:lvl w:ilvl="5" w:tplc="B9823CD8">
      <w:numFmt w:val="decimal"/>
      <w:lvlText w:val=""/>
      <w:lvlJc w:val="left"/>
    </w:lvl>
    <w:lvl w:ilvl="6" w:tplc="B60A4830">
      <w:numFmt w:val="decimal"/>
      <w:lvlText w:val=""/>
      <w:lvlJc w:val="left"/>
    </w:lvl>
    <w:lvl w:ilvl="7" w:tplc="C77EA94A">
      <w:numFmt w:val="decimal"/>
      <w:lvlText w:val=""/>
      <w:lvlJc w:val="left"/>
    </w:lvl>
    <w:lvl w:ilvl="8" w:tplc="17A80578">
      <w:numFmt w:val="decimal"/>
      <w:lvlText w:val=""/>
      <w:lvlJc w:val="left"/>
    </w:lvl>
  </w:abstractNum>
  <w:abstractNum w:abstractNumId="6" w15:restartNumberingAfterBreak="0">
    <w:nsid w:val="59CC408E"/>
    <w:multiLevelType w:val="hybridMultilevel"/>
    <w:tmpl w:val="92A2FDCE"/>
    <w:lvl w:ilvl="0" w:tplc="84D8C2F8">
      <w:start w:val="1"/>
      <w:numFmt w:val="bullet"/>
      <w:lvlText w:val=""/>
      <w:lvlJc w:val="left"/>
      <w:pPr>
        <w:tabs>
          <w:tab w:val="num" w:pos="900"/>
        </w:tabs>
        <w:ind w:left="540" w:hanging="360"/>
      </w:pPr>
      <w:rPr>
        <w:rFonts w:ascii="Symbol" w:hAnsi="Symbol" w:hint="default"/>
      </w:rPr>
    </w:lvl>
    <w:lvl w:ilvl="1" w:tplc="35426E34">
      <w:numFmt w:val="decimal"/>
      <w:lvlText w:val=""/>
      <w:lvlJc w:val="left"/>
    </w:lvl>
    <w:lvl w:ilvl="2" w:tplc="4BDA5754">
      <w:numFmt w:val="decimal"/>
      <w:lvlText w:val=""/>
      <w:lvlJc w:val="left"/>
    </w:lvl>
    <w:lvl w:ilvl="3" w:tplc="8D1CE31E">
      <w:numFmt w:val="decimal"/>
      <w:lvlText w:val=""/>
      <w:lvlJc w:val="left"/>
    </w:lvl>
    <w:lvl w:ilvl="4" w:tplc="AECE8312">
      <w:numFmt w:val="decimal"/>
      <w:lvlText w:val=""/>
      <w:lvlJc w:val="left"/>
    </w:lvl>
    <w:lvl w:ilvl="5" w:tplc="E9ECA7BC">
      <w:numFmt w:val="decimal"/>
      <w:lvlText w:val=""/>
      <w:lvlJc w:val="left"/>
    </w:lvl>
    <w:lvl w:ilvl="6" w:tplc="4AFC2662">
      <w:numFmt w:val="decimal"/>
      <w:lvlText w:val=""/>
      <w:lvlJc w:val="left"/>
    </w:lvl>
    <w:lvl w:ilvl="7" w:tplc="E66071E8">
      <w:numFmt w:val="decimal"/>
      <w:lvlText w:val=""/>
      <w:lvlJc w:val="left"/>
    </w:lvl>
    <w:lvl w:ilvl="8" w:tplc="37121516">
      <w:numFmt w:val="decimal"/>
      <w:lvlText w:val=""/>
      <w:lvlJc w:val="left"/>
    </w:lvl>
  </w:abstractNum>
  <w:abstractNum w:abstractNumId="7" w15:restartNumberingAfterBreak="0">
    <w:nsid w:val="79881AF1"/>
    <w:multiLevelType w:val="multilevel"/>
    <w:tmpl w:val="7C50A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1563039">
    <w:abstractNumId w:val="0"/>
  </w:num>
  <w:num w:numId="2" w16cid:durableId="53241061">
    <w:abstractNumId w:val="3"/>
  </w:num>
  <w:num w:numId="3" w16cid:durableId="1280643615">
    <w:abstractNumId w:val="1"/>
  </w:num>
  <w:num w:numId="4" w16cid:durableId="340591616">
    <w:abstractNumId w:val="6"/>
  </w:num>
  <w:num w:numId="5" w16cid:durableId="1147282798">
    <w:abstractNumId w:val="5"/>
  </w:num>
  <w:num w:numId="6" w16cid:durableId="1081759304">
    <w:abstractNumId w:val="4"/>
  </w:num>
  <w:num w:numId="7" w16cid:durableId="493424284">
    <w:abstractNumId w:val="7"/>
  </w:num>
  <w:num w:numId="8" w16cid:durableId="8467517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AEE"/>
    <w:rsid w:val="0060006C"/>
    <w:rsid w:val="009D3345"/>
    <w:rsid w:val="00BD5AEE"/>
    <w:rsid w:val="00E73FB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20E2D"/>
  <w15:docId w15:val="{3F307995-1842-44C6-8F14-FBC15A024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ListParagraph">
    <w:name w:val="List Paragraph"/>
    <w:basedOn w:val="Normal"/>
    <w:uiPriority w:val="34"/>
    <w:qFormat/>
    <w:rsid w:val="00E73F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8</Pages>
  <Words>1971</Words>
  <Characters>11235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Divyanshi Singh</cp:lastModifiedBy>
  <cp:revision>2</cp:revision>
  <dcterms:created xsi:type="dcterms:W3CDTF">2026-07-05T12:15:00Z</dcterms:created>
  <dcterms:modified xsi:type="dcterms:W3CDTF">2026-07-05T12:36:00Z</dcterms:modified>
</cp:coreProperties>
</file>