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TRADEMARK AI SYSTEM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Complete Blueprint &amp; Implementation Plan</w:t>
      </w:r>
    </w:p>
    <w:p>
      <w:pPr>
        <w:pBdr>
          <w:bottom w:val="single" w:color="2E75B6" w:sz="16" w:space="1"/>
        </w:pBdr>
        <w:spacing w:before="0" w:after="140"/>
      </w:pPr>
    </w:p>
    <w:p>
      <w:pPr>
        <w:spacing w:before="40" w:after="4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Goal: Analyze trademark documents against TMEP guidelines → Output risk-categorized assessment reports</w:t>
      </w:r>
    </w:p>
    <w:p>
      <w:pPr>
        <w:spacing w:before="20" w:after="4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Source Document: TEAR, POUR, LIVE MORE.pdf  |  TMEP: tmep.uspto.gov (Nov 2025)  |  Date: Feb 2026</w:t>
      </w:r>
    </w:p>
    <w:p>
      <w:pPr>
        <w:spacing w:before="400" w:after="10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PART A — Your Two Questions Answered</w:t>
      </w:r>
    </w:p>
    <w:p>
      <w:pPr>
        <w:pBdr>
          <w:bottom w:val="single" w:color="1B2A4A" w:sz="16" w:space="1"/>
        </w:pBdr>
        <w:spacing w:before="0" w:after="14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Q1: Does the PDF contain trademarks? How to use it as training data?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YES — The PDF contains 5 layers of trademark data: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1400"/>
        <w:gridCol w:w="1200"/>
        <w:gridCol w:w="4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Record Count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Contains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USPTO Federal Trademarks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p. 7 – 278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120 records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Mark name, serial no., registration no., status (Registered/Abandoned/Cancelled/Pending), International Classes, goods/services text, first-use dates, owner name &amp; address, Section 2(d) refusal history, TTAB opposition history, assignment/ownership chain, Global Filings flag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State Trademarks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p. 279 – 310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25 records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State-level mark registrations (CO, VT, etc.), registration numbers, owner details, class coverage — used for common law prior rights analysis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Web Common Law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p. 311 – 318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5 records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Unregistered marks found via web search — brand names in commercial use without USPTO registration, establishing common law rights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Common Law Database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p. 319 – 330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5 records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Mintel Global New Products Database entries, trade directories, industry publications — business names using similar marks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Internet Domain Names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p. 331 – 443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61 records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Domain names incorporating TEAR, POUR, LIVE MORE — indicates real-world commercial usage and potential common law rights outside the USPTO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 data sources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443 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216 records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Complete prior-art landscape for TEAR + POUR + LIVE MORE in Classes 05 and 32</w:t>
            </w:r>
          </w:p>
        </w:tc>
      </w:tr>
    </w:tbl>
    <w:p>
      <w:pPr>
        <w:spacing w:before="28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The PDF also contains these critical metadata structures per record: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Grouping System (Groups 1–5) — CompuMark's proprietary similarity scoring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Analyst commentary by Johnny Sok — human-expert notes on what is risky and why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Section 2(d) refusal cross-references — which marks were used to block others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TTAB opposition outcomes — litigation history between marks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Ownership chain / assignment history — who really controls the mark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Correspondent attorney details — who to contact for licensing/disputes</w:t>
      </w:r>
    </w:p>
    <w:p>
      <w:pPr>
        <w:spacing w:before="28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How to use it as training data — 3 Approaches: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100"/>
        <w:gridCol w:w="3480"/>
        <w:gridCol w:w="3480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Approach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Extract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AI Uses It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Structured JSON Records (Recommended)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Parse each citation into JSON: {mark_text, status, classes[], goods_services, serial_no, reg_no, owner, section_2d_history, group_number, first_use_date}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AI uses these as the 'TESS database substitute' — when you submit a new mark, it searches this JSON for conflicts, identical matches, phonetic matches, class overlaps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B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Fine-tuning Examples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Convert each citation + analyst notes into prompt-completion pairs: {input: 'Mark X in Class 5 conflicts with...', output: 'Risk: HIGH — TMEP §1207.01 — identical mark...'}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Fine-tune a base LLM (GPT-4, Claude, Mistral) on these examples so it learns the pattern of trademark conflict assessment from real CompuMark analyst decisions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RAG Knowledge Base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Chunk the PDF into segments (one per citation), embed them into a vector database (Pinecone, Chroma, Weaviate), store with metadata tags (class, status, group)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When new mark submitted → embed it → retrieve top-K similar records from vector DB → feed retrieved records as context to LLM → LLM reasons about conflicts using real data</w:t>
            </w:r>
          </w:p>
        </w:tc>
      </w:tr>
    </w:tbl>
    <w:p>
      <w:pPr>
        <w:spacing w:before="28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Best Choice for Your Goal: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Use Approach C (RAG) for the knowledge base + Approach A (JSON) for structured conflict lookup. Approach B (fine-tuning) can be added later once you have 50+ PDFs.</w:t>
      </w:r>
    </w:p>
    <w:p>
      <w:pPr>
        <w:spacing w:before="280" w:after="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Q2: How can you use the TEAR, POUR, LIVE MORE.pdf?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The PDF serves 4 distinct roles in your system: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400"/>
        <w:gridCol w:w="3330"/>
        <w:gridCol w:w="3330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It's Used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Prior Art Database (TESS substitute)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120 USPTO records become your searchable conflict database. When a new mark is submitted, your system queries this data for identical, phonetic, spelling, and per-word matches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Conflict list with group classification (Group 1 = identical → Group 5 = weak similarity)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Risk Label Ground Truth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Group 1-2 = HIGH risk, Group 3 = MEDIUM-HIGH, Group 4 = MEDIUM, Group 5 = LOW. The CompuMark grouping IS your risk labeling system — already done by experts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Pre-labeled training examples: each citation already has a similarity group and analyst note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TMEP Anchor Points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Section 2(d) refusal data in the PDF maps directly to TMEP §1207.01 (likelihood of confusion). Each 2(d) citation is a real example of USPTO applying TMEP — perfect for grounding your AI's legal citations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Specific TMEP section → specific conflict type mapping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System Validation / Test Case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Run your finished system against TEAR, POUR, LIVE MORE as the input mark. Compare your system's output to the CompuMark analyst's conclusions — this tells you if your system works correctly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Accuracy benchmark: does your system find the same 120 conflicts with the same risk levels?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PART B — Full System Architecture</w:t>
      </w:r>
    </w:p>
    <w:p>
      <w:pPr>
        <w:pBdr>
          <w:bottom w:val="single" w:color="1B2A4A" w:sz="16" w:space="1"/>
        </w:pBdr>
        <w:spacing w:before="0" w:after="14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system has 5 core components that work together in a pipeline. The PDF feeds Component 2. The TMEP guidelines feed Component 3. Everything converges in Component 4 (the AI Engine) to produce the report in Component 5.</w:t>
      </w:r>
    </w:p>
    <w:p>
      <w:pPr>
        <w:spacing w:before="280" w:after="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System Overview Diagram (Text)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INPUT: New Trademark Application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(mark text, goods/services description, International Classes)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88BBFF"/>
                <w:sz w:val="24"/>
                <w:szCs w:val="24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BBFF"/>
                <w:sz w:val="20"/>
                <w:szCs w:val="20"/>
              </w:rPr>
              <w:t xml:space="preserve">[COMPONENT 1] Input Validator &amp; Trigger Checker</w:t>
            </w:r>
          </w:p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20"/>
                <w:szCs w:val="20"/>
              </w:rPr>
              <w:t xml:space="preserve">↓                                    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BBFF"/>
                <w:sz w:val="20"/>
                <w:szCs w:val="20"/>
              </w:rPr>
              <w:t xml:space="preserve">[COMPONENT 2]                      [COMPONENT 3]</w:t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Conflict Search Engine              TMEP Rules Engine</w:t>
            </w:r>
          </w:p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(PDF → RAG/JSON database)          (TMEP §§ → Rule mappings)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20"/>
                <w:szCs w:val="20"/>
              </w:rPr>
              <w:t xml:space="preserve">↓                                    ↓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88BBFF"/>
                <w:sz w:val="20"/>
                <w:szCs w:val="20"/>
              </w:rPr>
              <w:t xml:space="preserve">[COMPONENT 4] AI Risk Assessment Engine (LLM + RAG)</w:t>
            </w:r>
          </w:p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Conflict list + TMEP rules → AI reasons → Risk levels + TMEP citations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BBFF"/>
                <w:sz w:val="24"/>
                <w:szCs w:val="24"/>
              </w:rPr>
              <w:t xml:space="preserve">↓</w:t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88BBFF"/>
                <w:sz w:val="20"/>
                <w:szCs w:val="20"/>
              </w:rPr>
              <w:t xml:space="preserve">[COMPONENT 5] Report Generator</w:t>
            </w:r>
          </w:p>
          <w:p>
            <w:pPr>
              <w:spacing w:before="20" w:after="80"/>
              <w:jc w:val="center"/>
            </w:pP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Structured PDF/DOCX assessment: findings sorted by risk level, TMEP citations, audit log</w:t>
            </w:r>
          </w:p>
        </w:tc>
      </w:tr>
    </w:tbl>
    <w:p>
      <w:pPr>
        <w:spacing w:before="280" w:after="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Component 1 — Input Validator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Validates the incoming trademark application input and checks whether a search is legally required under TMEP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Required inputs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application_id, mark_text, mark_type (standard_character / design / sound), goods_services description, international_classes[], event_trigger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Valid triggers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first_review | revival | amendment_goods | new_basis  (anything else → system refuses with error)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TMEP reference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TMEP §704.02 — Mandatory search requirement before any office 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Output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Validated request object → passes to Component 2 &amp; 3 in parallel</w:t>
            </w:r>
          </w:p>
        </w:tc>
      </w:tr>
    </w:tbl>
    <w:p>
      <w:pPr>
        <w:spacing w:before="280" w:after="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Component 2 — Conflict Search Engine (THE PDF ROLE)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TEAR, POUR, LIVE MORE.pdf → extracted and stored as structured records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Storage format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Two parallel stores: (1) JSON records for exact/structured queries, (2) Vector embeddings in a vector DB (e.g. ChromaDB) for semantic/phonetic search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Search types run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Exact match | Phonetic match (Soundex/Metaphone) | Spelling variants | Per-word search | Class overlap | Goods/services semantic similarity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Source layers queried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Layer 1: USPTO (120 records) | Layer 2: State marks (25) | Layer 3: Web common law (5) | Layer 4: Common law DB (5) | Layer 5: Domain names (61)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Output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Ranked list of conflicting marks with: similarity score, group (1–5), source layer, all citation metadata → passes to Component 4</w:t>
            </w:r>
          </w:p>
        </w:tc>
      </w:tr>
    </w:tbl>
    <w:p>
      <w:pPr>
        <w:spacing w:before="280" w:after="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Component 3 — TMEP Rules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TMEP Nov 2025 — https://tmep.uspto.gov/RDMS/TMEP/current — fetched, chunked, embedded into a separate vector 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Key sections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§1207.01 (likelihood of confusion) | §1207.01(a–d) (DuPont factors) | §704.02 (mandatory search) | §807 (mark description) | §1402 (identification of goods) | §1301 (service marks) | §1202 (descriptiveness)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Rule mapping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Each conflict type maps to a specific TMEP section: identical mark + identical class = §1207.01(a)(i); phonetic similarity = §1207.01(b)(i); related goods = §1207.01(a)(v); famous mark = §1207.01(d)(i)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Output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Applicable TMEP sections retrieved as context for each detected conflict → passes to Component 4</w:t>
            </w:r>
          </w:p>
        </w:tc>
      </w:tr>
    </w:tbl>
    <w:p>
      <w:pPr>
        <w:spacing w:before="280" w:after="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Component 4 — AI Risk Assessment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AI Model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Claude claude-sonnet-4-6 or GPT-4o via API — with structured output mode (JSON schema enforced)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Input to AI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(1) The new mark's details, (2) ranked conflict list from Component 2, (3) applicable TMEP sections from Component 3, (4) system prompt defining the 5 risk levels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Risk scale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HIGH | MEDIUM-HIGH | MEDIUM | MEDIUM-LOW | LOW — each level has defined criteria (see Part 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AI tasks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For each conflict: assign risk level + cite specific TMEP section + explain reasoning + suggest mitigation 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Output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Structured JSON: [{finding_id, conflict_mark, risk_level, tmep_citations[], reasoning, mitigation}] → passes to Component 5</w:t>
            </w:r>
          </w:p>
        </w:tc>
      </w:tr>
    </w:tbl>
    <w:p>
      <w:pPr>
        <w:spacing w:before="280" w:after="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Component 5 — Report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Input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Structured JSON findings from Component 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Output formats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PDF report | DOCX report | JSON API response | Audit log with unique ID, timestamps, all queries run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Report sections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Executive Summary | Risk Heat Map | Findings Table (sorted by risk) | Detailed Citation Pages | TMEP Reference Index | Search Strategy Log | Audit Trail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Cleared 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If no HIGH/MEDIUM-HIGH findings → mark CLEARED_FOR_1207 (ready for substantive examination). Otherwise → OFFICE_ACTION_LIKELY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PART C — Extracting the PDF into Training Data</w:t>
      </w:r>
    </w:p>
    <w:p>
      <w:pPr>
        <w:pBdr>
          <w:bottom w:val="single" w:color="1B2A4A" w:sz="16" w:space="1"/>
        </w:pBdr>
        <w:spacing w:before="0" w:after="14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1: Extract &amp; Clean the PDF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Tool: pdfplumber (Python) — already confirmed working on your PDF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Process: Extract page by page, detect section boundaries by page header 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Clean: Remove running headers ('TEAR, POUR, LIVE MORE'), page numbers, 'Search:411682111' footers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Result: Clean text corpus, ~443 pages, organized by section</w:t>
      </w:r>
    </w:p>
    <w:p>
      <w:pPr>
        <w:spacing w:before="280" w:after="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2: Parse Each Citation into Structured JSON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Each of the 120 USPTO citations follows a consistent template. Parse it into this schema: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JSON 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/ Source in PDF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citation_id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US-1, US-2 ... US-120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mark_text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"LIVE MORE"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mark_type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"standard_character" | "design" | "stylized"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group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8"/>
                <w:szCs w:val="18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3  (from Group: Three)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"REGISTERED" | "ABANDONED" | "CANCELLED" | "PENDING" | "RENEWED"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uspto_status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"REGISTERED AND RENEWED"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status_date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8"/>
                <w:szCs w:val="18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"2020-10-06"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international_classes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8"/>
                <w:szCs w:val="18"/>
              </w:rPr>
              <w:t xml:space="preserve">integer[]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[5]  or  [29, 32]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goods_services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"Vitamins; dietary supplements; nutritional supplements..."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first_use_date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8"/>
                <w:szCs w:val="18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"2019-03-01"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first_use_commerce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8"/>
                <w:szCs w:val="18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"2019-03-01"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owner_name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"LIVEMORESUPERFOODS, LLC"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owner_type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"CALIFORNIA LIMITED LIABILITY COMPANY"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owner_address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8"/>
                <w:szCs w:val="18"/>
              </w:rPr>
              <w:t xml:space="preserve">object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{street, city, state, zip, country}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serial_number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"88-281,376"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registration_number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"6,170,206"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filed_date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8"/>
                <w:szCs w:val="18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"2019-01-29"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registered_date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8"/>
                <w:szCs w:val="18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"2020-10-06"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section_2d_issued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8"/>
                <w:szCs w:val="18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true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section_2d_targets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8"/>
                <w:szCs w:val="18"/>
              </w:rPr>
              <w:t xml:space="preserve">object[]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[{mark: 'SHOPLIVERMORE', status: 'ABANDONED', serial: '90754803'}]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section_2d_cited_in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8"/>
                <w:szCs w:val="18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false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ttab_history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8"/>
                <w:szCs w:val="18"/>
              </w:rPr>
              <w:t xml:space="preserve">object[]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[{opposition_no, outcome, plaintiff, defendant, date}]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global_filings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8"/>
                <w:szCs w:val="18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design_phrase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"THE MARK CONSISTS OF A CIRCLE ABOVE LIVE AND MORE..."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disclaimers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8"/>
                <w:szCs w:val="18"/>
              </w:rPr>
              <w:t xml:space="preserve">string[]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["NATURALS"]  or  []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assignment_history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8"/>
                <w:szCs w:val="18"/>
              </w:rPr>
              <w:t xml:space="preserve">object[]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[{assignee, assignor, date, brief, reel_frame}]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source_layer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"USPTO" | "STATE" | "WEB_COMMON_LAW" | "COMMON_LAW_DB" | "DOMAIN"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analyst_notes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CompuMark analyst comments if present</w:t>
            </w:r>
          </w:p>
        </w:tc>
      </w:tr>
    </w:tbl>
    <w:p>
      <w:pPr>
        <w:spacing w:before="280" w:after="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3: Label Each Record with Risk Tier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Use the CompuMark group number + status + class overlap to auto-assign initial risk labels: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6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Filter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Label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1 or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Any active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Identical or near-identical mark — USPTO will almost certainly refuse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Registered + same class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Strong similarity to registered mark in identical class — high confusion risk per DuPont factors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Registered + related class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9900"/>
                <w:sz w:val="18"/>
                <w:szCs w:val="18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Strong similarity but goods/services less directly overlapping — still warrants office 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Registered + any class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MEDIUM-LOW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Formative variant — possible confusion but DuPont factors may not fully support refusal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5 or Inactive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Abandoned/Cancelled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LOW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Weak similarity or inactive marks — monitor only, no immediate barrier</w:t>
            </w:r>
          </w:p>
        </w:tc>
      </w:tr>
    </w:tbl>
    <w:p>
      <w:pPr>
        <w:spacing w:before="280" w:after="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4: Build the Vector Knowledge Base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Chunk the PDF — one chunk per citation record (avg 1–2 pages each)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Add metadata to each chunk: {citation_id, group, status, classes, mark_text, source_layer, risk_label}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Embed each chunk using an embedding model (OpenAI text-embedding-3-large or sentence-transformers)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Store in a vector database: ChromaDB (free, local) or Pinecone (cloud) or Weaviate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Index by both semantic content AND structured filters (class number, status, group)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Also create a separate embedding index for the TMEP Nov 2025 content from tmep.uspto.gov</w:t>
      </w:r>
    </w:p>
    <w:p>
      <w:pPr>
        <w:spacing w:before="280" w:after="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5: Create Fine-tuning Examples (Optional — Phase 2)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Convert each CompuMark citation into a prompt-completion pair using this template: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PROMPT: "A new trademark application for [MARK X] in Classes [A, B] covering [goods/services description] is being reviewed. Citation US-1 (LIVE MORE, Registered, Class 5, Owner: LiveMore Superfoods) was found in the prior art search. Does this citation pose a conflict?"</w:t>
      </w:r>
    </w:p>
    <w:p>
      <w:pPr>
        <w:spacing w:before="20" w:after="80"/>
      </w:pPr>
      <w:r>
        <w:rPr>
          <w:rFonts w:ascii="Courier New" w:cs="Courier New" w:eastAsia="Courier New" w:hAnsi="Courier New"/>
          <w:color w:val="224400"/>
          <w:sz w:val="18"/>
          <w:szCs w:val="18"/>
        </w:rPr>
        <w:t xml:space="preserve">COMPLETION: "Risk Level: HIGH. TMEP Citation: §1207.01(a)(i). Reasoning: The cited mark LIVE MORE (Reg. #6,170,206) is identical in text to the applied-for mark. It covers Class 5 vitamins and dietary supplements — identical goods. It is actively registered and has demonstrated enforcement via Section 2(d) refusals. Under the first DuPont factor, identical marks on identical goods create a strong presumption of likelihood of confusion. Mitigation: Applicant should consider a different mark or a consent agreement with LiveMore Superfoods, LLC."</w:t>
      </w:r>
    </w:p>
    <w:p>
      <w:r>
        <w:br w:type="page"/>
      </w:r>
    </w:p>
    <w:p>
      <w:pPr>
        <w:spacing w:before="400" w:after="10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PART D — Risk Categories &amp; TMEP Mapping</w:t>
      </w:r>
    </w:p>
    <w:p>
      <w:pPr>
        <w:pBdr>
          <w:bottom w:val="single" w:color="1B2A4A" w:sz="16" w:space="1"/>
        </w:pBdr>
        <w:spacing w:before="0"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500"/>
        <w:gridCol w:w="2660"/>
        <w:gridCol w:w="26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Condition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TMEP §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Output 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Identical mark + same/related class, active registration or pending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§1207.01(a)(i); §1207.01(b)(i)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USPTO will almost certainly issue a Section 2(d) refusal citing the blocking mark. Not registrable as-is.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Flag as LIKELY_REFUSAL. Suggest abandonment, redesign, or consent agreement.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Similar mark (Group 3) + same class; or identical mark + related class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§1207.01(a)(v); §1207.01(b)(ii–iii)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High probability of 2(d) refusal. Examiner will weigh DuPont factors — likely to find confusion.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Flag as PROBABLE_REFUSAL. Recommend legal counsel review DuPont analysis.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Formative similarity (Group 4) + overlapping class; or similar mark + less-related goods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§1207.01(a)(i-vi); §1207.01(c)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Possible office action. Examiner may issue a 2(d) refusal — outcome depends on specific DuPont factor analysis.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Flag as POSSIBLE_REFUSAL. Conduct full DuPont analysis. Consider goods/services amendment.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MEDIUM-LOW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State mark / common law / domain in same field; or weak formative similarity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§1207.01(d); §904.03(f)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Low USPTO refusal risk but potential common law infringement claim from prior user. Not an absolute bar.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Monitor. Note for attorney review. Check actual marketplace use.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Inactive marks / Group 5 / different goods / domain names only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§1207.01(d)(iv); §904.03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Minimal current risk. Abandoned/cancelled marks are not bars to registration. Record for completeness.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Note in report. No action required. Mark cleared for §1207 analysis.</w:t>
            </w:r>
          </w:p>
        </w:tc>
      </w:tr>
    </w:tbl>
    <w:p>
      <w:pPr>
        <w:spacing w:before="280" w:after="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Key TMEP Sections Your System Must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TMEP Section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Your System Cites 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§704.02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Mandatory search before office action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Always — every search is legally required under this section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§1207.01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Likelihood of confusion — main section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Any mark similarity finding, any class overlap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§1207.01(a)(i)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Similarity of marks in appearance, sound, meaning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Group 1–3 citation found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§1207.01(a)(v)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Relatedness of goods/services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Different class but related goods found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§1207.01(b)(i)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Phonetic similarity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Soundex match found (e.g. TEAR vs TIER)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§1207.01(b)(ii)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Connotation / commercial impression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Same meaning in different words found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§1207.01(c)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Strength of cited mark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Famous or heavily-used mark found (amplifies risk)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§1207.01(d)(i)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Famous marks get broader protection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Mark with global filings or TTAB wins found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§1207.01(d)(iv)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Abandoned marks not bars to registration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Abandoned/cancelled citation being noted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§1202.02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Merely descriptive marks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Mark contains descriptive terms (LIVE, MORE, POUR)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§1402.01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Identification of goods/services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Goods description amendment recommended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§807.07(a)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Mark description requirements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Design mark or stylized mark found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PART E — Implementation Roadmap</w:t>
      </w:r>
    </w:p>
    <w:p>
      <w:pPr>
        <w:pBdr>
          <w:bottom w:val="single" w:color="1B2A4A" w:sz="16" w:space="1"/>
        </w:pBdr>
        <w:spacing w:before="0"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1800"/>
        <w:gridCol w:w="1960"/>
        <w:gridCol w:w="32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Deliverable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Data Pipeline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Week 1–2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120 citations in JSON + vector 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Extract PDF → clean text → parse JSON → label risk → embed → store in ChromaDB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TMEP Engine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Week 2–3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TMEP knowledge base + rule mapping table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Scrape/fetch TMEP Nov 2025 → chunk by section → embed → store → build §→conflict-type mapping JSON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Search Engine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Week 3–4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Working conflict search (all 4 query types)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Build exact match, phonetic (Soundex), spelling variant, per-word, semantic (cosine similarity) search functions against the vector DB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AI Engine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Week 4–5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Working risk assessor with TMEP citations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Prompt engineering → structured output schema → Claude/GPT-4 integration → risk level assignment → TMEP citation → mitigation suggestions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Report &amp; Validation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Week 5–6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Full report output + accuracy benchmark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Report generator (PDF/DOCX) → run TEAR POUR LIVE MORE as test case → compare to CompuMark output → measure accuracy → iterate</w:t>
            </w:r>
          </w:p>
        </w:tc>
      </w:tr>
    </w:tbl>
    <w:p>
      <w:pPr>
        <w:spacing w:before="280" w:after="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80"/>
        <w:gridCol w:w="41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Tool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PDF Extraction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pdfplumber (Python)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Already confirmed working on your PDF — extract text page by page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Data Storage (structured)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PostgreSQL or SQLite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Store the 120 JSON citation records for exact/filtered queries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Data Storage (semantic)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ChromaDB (free, local)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Vector embeddings for semantic similarity search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Embedding Model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OpenAI text-embedding-3-large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Convert mark text and goods/services into vectors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AI Engine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Claude claude-sonnet-4-6 via Anthropic API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Risk assessment, TMEP citation, reasoning — structured JSON output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Phonetic Matching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fuzzy / jellyfish (Python)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Soundex/Metaphone for POUR vs PORE, TEAR vs TIER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Report Generation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reportlab + python-docx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Generate PDF and DOCX assessment reports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API Layer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FastAPI (Python)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REST endpoints: POST /analyze → returns JSON assessment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LangChain or plain Python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Connect all components in the pipeline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Validation / Testing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pytest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Test each search type against known CompuMark results</w:t>
            </w:r>
          </w:p>
        </w:tc>
      </w:tr>
    </w:tbl>
    <w:p>
      <w:pPr>
        <w:spacing w:before="280" w:after="0"/>
      </w:pPr>
    </w:p>
    <w:p>
      <w:pPr>
        <w:spacing w:before="400" w:after="10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PART F — What the Final Report Looks Like</w:t>
      </w:r>
    </w:p>
    <w:p>
      <w:pPr>
        <w:pBdr>
          <w:bottom w:val="single" w:color="1B2A4A" w:sz="16" w:space="1"/>
        </w:pBdr>
        <w:spacing w:before="0" w:after="14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When a user submits a new mark (e.g. TEAR, POUR, LIVE MORE), your system generates a report with this 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300"/>
        <w:gridCol w:w="1200"/>
        <w:gridCol w:w="1800"/>
        <w:gridCol w:w="3760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TMEP Citation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Reasoning + Action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LIVE MORE (Reg. #6,170,206, Cl. 5) — LiveMore Superfoods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§1207.01(a)(i)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Identical mark, identical class, active registration with prior enforcement. Near-certain 2(d) refusal. → Seek consent agreement or redesign mark.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LIVE MORE (Reg. #6,119,781, Cl. 29, 32) — LiveMore Superfoods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§1207.01(a)(v)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Identical mark, Class 32 covers energy drinks — same goods as applicant. Enforced against LIQUID GOLD ENERGY DRINK. → Refusal expected.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LIVE MORE HEALTHY DAYS (Reg. #6,608,024, Cl. 5) — Cargill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MED-HIGH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§1207.01(b)(ii)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LIVE MORE is dominant element of cited mark. Cargill is large corporate registrant. Class 5 overlap. → Likely 2(d) refusal citing this as secondary block.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MORLIFE (Reg. #5,635,530, Cl. 29, 30, 32) — Las Ninas Trust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9900"/>
                <w:sz w:val="17"/>
                <w:szCs w:val="17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§1207.01(a)(i)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MORLIFE is phonetic/anagram variant of LIVE MORE. Class 32 overlap on beverages. Has been successfully enforced via 2(d) against MORELIFE. → Possible secondary refusal.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Domain: DREAMBIGLIVEMORE.COM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17"/>
                <w:szCs w:val="17"/>
              </w:rPr>
              <w:t xml:space="preserve">MED-LOW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§904.03(f)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Domain with LIVE MORE formative indicates commercial use. No USPTO bar but potential common law issue. → Monitor.</w:t>
            </w:r>
          </w:p>
        </w:tc>
      </w:tr>
    </w:tbl>
    <w:p>
      <w:pPr>
        <w:spacing w:before="280" w:after="0"/>
      </w:pPr>
    </w:p>
    <w:p>
      <w:pPr>
        <w:pBdr>
          <w:bottom w:val="single" w:color="AAAAAA" w:sz="16" w:space="1"/>
        </w:pBdr>
        <w:spacing w:before="0" w:after="140"/>
      </w:pPr>
    </w:p>
    <w:p>
      <w:pPr>
        <w:spacing w:before="60" w:after="60"/>
        <w:jc w:val="center"/>
      </w:pPr>
      <w:r>
        <w:rPr>
          <w:rFonts w:ascii="Arial" w:cs="Arial" w:eastAsia="Arial" w:hAnsi="Arial"/>
          <w:color w:val="777777"/>
          <w:sz w:val="17"/>
          <w:szCs w:val="17"/>
        </w:rPr>
        <w:t xml:space="preserve">This plan was generated from analysis of TEAR, POUR, LIVE MORE.pdf (CompuMark File 411682111) and TMEP Nov 2025. It covers Q1 (PDF structure + training data approaches), Q2 (how to use the PDF), and the complete AI system design. Ready to implement any component — just say which Phase to start with.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00" w:after="100"/>
      <w:outlineLvl w:val="0"/>
    </w:pPr>
    <w:rPr>
      <w:rFonts w:ascii="Arial" w:cs="Arial" w:eastAsia="Arial" w:hAnsi="Arial"/>
      <w:b/>
      <w:bCs/>
      <w:color w:val="1B2A4A"/>
      <w:sz w:val="40"/>
      <w:szCs w:val="40"/>
    </w:rPr>
  </w:style>
  <w:style w:type="paragraph" w:styleId="Heading2">
    <w:name w:val="Heading 2"/>
    <w:basedOn w:val="Normal"/>
    <w:next w:val="Normal"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2026-02-27T06:50:04.313Z</dcterms:created>
  <dcterms:modified xsi:type="dcterms:W3CDTF">2026-02-27T06:50:04.314Z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