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Financial Impacts</w:t>
      </w:r>
    </w:p>
    <w:p>
      <w:pPr>
        <w:pBdr>
          <w:bottom w:val="single" w:color="1F3864" w:sz="6" w:space="4"/>
        </w:pBdr>
        <w:spacing w:after="240"/>
      </w:pPr>
      <w:r>
        <w:rPr>
          <w:color w:val="555555"/>
          <w:sz w:val="22"/>
          <w:szCs w:val="22"/>
        </w:rPr>
        <w:t xml:space="preserve">Discussion section — Six Sigma report: fast charging and smartphone battery degradation</w:t>
      </w:r>
    </w:p>
    <w:p>
      <w:pPr>
        <w:pStyle w:val="Heading1"/>
        <w:spacing w:before="240" w:after="120"/>
      </w:pPr>
      <w:r>
        <w:t xml:space="preserve">Financial Impacts</w:t>
      </w:r>
    </w:p>
    <w:p>
      <w:pPr>
        <w:spacing w:after="120"/>
      </w:pPr>
      <w:r>
        <w:rPr>
          <w:b/>
          <w:bCs/>
        </w:rPr>
        <w:t xml:space="preserve">Recommendation: default phone charging to a slower rate (2C) unless the user asks for a fast charge.</w:t>
      </w:r>
      <w:r>
        <w:t xml:space="preserve"> Over a three-year ownership period, this lowers expected battery-replacement spending by </w:t>
      </w:r>
      <w:r>
        <w:rPr>
          <w:b/>
          <w:bCs/>
        </w:rPr>
        <w:t xml:space="preserve">$4.55 per owner (95% CI $3.37–$5.84)</w:t>
      </w:r>
      <w:r>
        <w:t xml:space="preserve">, from $25.14 to $20.58. Slowing to 1C saves </w:t>
      </w:r>
      <w:r>
        <w:rPr>
          <w:b/>
          <w:bCs/>
        </w:rPr>
        <w:t xml:space="preserve">$5.84 ($4.46–$7.33)</w:t>
      </w:r>
      <w:r>
        <w:t xml:space="preserve">. For a fleet of 10,000 company phones, that is roughly $45,500 ($33,700–$58,400) over three years at 2C. The cost is time: reaching 80% charge takes 25.6 minutes at 2C and 51.1 at 1C, instead of 17.0 at 3C.</w:t>
      </w:r>
    </w:p>
    <w:p>
      <w:pPr>
        <w:spacing w:after="120"/>
      </w:pPr>
      <w:r>
        <w:rPr>
          <w:b/>
          <w:bCs/>
        </w:rPr>
        <w:t xml:space="preserve">How the costs were estimated.</w:t>
      </w:r>
      <w:r>
        <w:t xml:space="preserve"> We combined the simulated battery lifetimes with published prices, following the bootstrap approach in Fraser (n.d.):</w:t>
      </w:r>
    </w:p>
    <w:p>
      <w:pPr>
        <w:pStyle w:val="ListParagraph"/>
        <w:numPr>
          <w:ilvl w:val="0"/>
          <w:numId w:val="2"/>
        </w:numPr>
        <w:spacing w:after="60"/>
      </w:pPr>
      <w:r>
        <w:t xml:space="preserve">Each simulated owner uses the phone for 3 years, Apple's first-owner assumption (Apple, 2024, p. 9), at 0.7 equivalent full cycles per day (Aussems, 2025): 766.5 cycles in total.</w:t>
      </w:r>
    </w:p>
    <w:p>
      <w:pPr>
        <w:pStyle w:val="ListParagraph"/>
        <w:numPr>
          <w:ilvl w:val="0"/>
          <w:numId w:val="2"/>
        </w:numPr>
        <w:spacing w:after="60"/>
      </w:pPr>
      <w:r>
        <w:t xml:space="preserve">Whenever a battery reaches 80% health, it is replaced and the new battery draws a fresh lifetime from the same strategy (a renewal process).</w:t>
      </w:r>
    </w:p>
    <w:p>
      <w:pPr>
        <w:pStyle w:val="ListParagraph"/>
        <w:numPr>
          <w:ilvl w:val="0"/>
          <w:numId w:val="2"/>
        </w:numPr>
        <w:spacing w:after="60"/>
      </w:pPr>
      <w:r>
        <w:t xml:space="preserve">Each replacement costs $99, Apple's out-of-warranty price for an iPhone 16 battery (Burkhardt, 2024), with no service fee for an in-store repair (Apple, n.d.-b). Every strategy uses the same $19 charger (Apple, n.d.-d), so charger cost cancels out.</w:t>
      </w:r>
    </w:p>
    <w:p>
      <w:pPr>
        <w:spacing w:after="120"/>
      </w:pPr>
      <w:r>
        <w:rPr>
          <w:b/>
          <w:bCs/>
        </w:rPr>
        <w:t xml:space="preserve">Uncertainty.</w:t>
      </w:r>
      <w:r>
        <w:t xml:space="preserve"> No closed-form standard error exists for this cost, so we bootstrapped it. We resampled the 1,000 simulated owners 2,000 times, with the same owners under both strategies, and took the 2.5th and 97.5th percentiles of the cost difference. Using the $119 Pro-model battery price instead raises the 2C saving to $5.47 ($4.05–$7.02).</w:t>
      </w:r>
    </w:p>
    <w:p>
      <w:pPr>
        <w:spacing w:after="120"/>
      </w:pPr>
      <w:r>
        <w:rPr>
          <w:b/>
          <w:bCs/>
        </w:rPr>
        <w:t xml:space="preserve">When owners replace the whole phone at end of battery life</w:t>
      </w:r>
      <w:r>
        <w:t xml:space="preserve"> ($799; Apple, n.d.-c), the stakes are larger. Slower 2C charging saves $36.75 per owner ($27.17–$47.14), and 1C saves $47.14 ($35.96–$59.13).</w:t>
      </w:r>
    </w:p>
    <w:p>
      <w:pPr>
        <w:spacing w:after="120"/>
      </w:pPr>
      <w:r>
        <w:rPr>
          <w:b/>
          <w:bCs/>
        </w:rPr>
        <w:t xml:space="preserve">What the money depends on.</w:t>
      </w:r>
      <w:r>
        <w:t xml:space="preserve"> Savings come from fewer owners hitting end of life within three years. At 3C, 6.2% of owners need a replacement (95% CI 4.8–7.6%); at 2C, 1.6% (0.9–2.4%); at 1C, 0.3% (0–0.7%). Most of that spending falls in year three (Figure 2).</w:t>
      </w:r>
    </w:p>
    <w:p>
      <w:pPr>
        <w:spacing w:after="120"/>
      </w:pPr>
      <w:r>
        <w:rPr>
          <w:b/>
          <w:bCs/>
        </w:rPr>
        <w:t xml:space="preserve">What we cannot claim yet.</w:t>
      </w:r>
      <w:r>
        <w:t xml:space="preserve"> The 80% charge limit and multistage charging show $0 savings only because no verified source gives their effect on battery life. These are not evidence that they don't help.</w:t>
      </w:r>
    </w:p>
    <w:p>
      <w:pPr>
        <w:spacing w:after="120"/>
      </w:pPr>
      <w:r>
        <w:rPr>
          <w:b/>
          <w:bCs/>
        </w:rPr>
        <w:t xml:space="preserve">These figures are conservative for real phones.</w:t>
      </w:r>
      <w:r>
        <w:t xml:space="preserve"> Our lifetime model, fitted to LFP cells, predicts batteries lasting five to ten times longer than Apple's 500–1,000-cycle ratings. If real phone batteries fade as fast as Apple's ratings suggest, far more owners would hit end of life within three years, and the savings from slower charging would be larger. Two inputs also deserve caution. The usage rate comes from a review site's estimate rather than a peer-reviewed study, and the battery price comes from 2024 news coverage of Apple's price list. We would ask a CTO to fund obtaining the LCO test conditions (Diao et al., 2019) and a peer-reviewed usage estimate before scaling the recommendation.</w:t>
      </w:r>
    </w:p>
    <w:p>
      <w:pPr>
        <w:spacing w:after="120"/>
      </w:pPr>
      <w:r>
        <w:rPr>
          <w:b/>
          <w:bCs/>
        </w:rPr>
        <w:t xml:space="preserve">Table 1.</w:t>
      </w:r>
      <w:r>
        <w:t xml:space="preserve"> Cost inputs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2191"/>
        <w:gridCol w:w="4182"/>
      </w:tblGrid>
      <w:tr>
        <w:trPr>
          <w:tblHeader/>
        </w:trPr>
        <w:tc>
          <w:tcPr>
            <w:tcW w:type="dxa" w:w="2987"/>
            <w:shd w:fill="E8EEF7" w:color="auto" w:val="clear"/>
            <w:tcMar>
              <w:top w:type="dxa" w:w="40"/>
              <w:left w:type="dxa" w:w="80"/>
              <w:bottom w:type="dxa" w:w="40"/>
              <w:right w:type="dxa" w:w="80"/>
            </w:tcMar>
          </w:tcPr>
          <w:p>
            <w:r>
              <w:rPr>
                <w:b/>
                <w:bCs/>
                <w:sz w:val="18"/>
                <w:szCs w:val="18"/>
              </w:rPr>
              <w:t xml:space="preserve">Input</w:t>
            </w:r>
          </w:p>
        </w:tc>
        <w:tc>
          <w:tcPr>
            <w:tcW w:type="dxa" w:w="2191"/>
            <w:shd w:fill="E8EEF7" w:color="auto" w:val="clear"/>
            <w:tcMar>
              <w:top w:type="dxa" w:w="40"/>
              <w:left w:type="dxa" w:w="80"/>
              <w:bottom w:type="dxa" w:w="40"/>
              <w:right w:type="dxa" w:w="80"/>
            </w:tcMar>
          </w:tcPr>
          <w:p>
            <w:r>
              <w:rPr>
                <w:b/>
                <w:bCs/>
                <w:sz w:val="18"/>
                <w:szCs w:val="18"/>
              </w:rPr>
              <w:t xml:space="preserve">Value</w:t>
            </w:r>
          </w:p>
        </w:tc>
        <w:tc>
          <w:tcPr>
            <w:tcW w:type="dxa" w:w="4182"/>
            <w:shd w:fill="E8EEF7" w:color="auto" w:val="clear"/>
            <w:tcMar>
              <w:top w:type="dxa" w:w="40"/>
              <w:left w:type="dxa" w:w="80"/>
              <w:bottom w:type="dxa" w:w="40"/>
              <w:right w:type="dxa" w:w="80"/>
            </w:tcMar>
          </w:tcPr>
          <w:p>
            <w:r>
              <w:rPr>
                <w:b/>
                <w:bCs/>
                <w:sz w:val="18"/>
                <w:szCs w:val="18"/>
              </w:rPr>
              <w:t xml:space="preserve">Source (retrieved 28 Oct 2026)</w:t>
            </w:r>
          </w:p>
        </w:tc>
      </w:tr>
      <w:tr>
        <w:tc>
          <w:tcPr>
            <w:tcW w:type="dxa" w:w="2987"/>
            <w:tcMar>
              <w:top w:type="dxa" w:w="40"/>
              <w:left w:type="dxa" w:w="80"/>
              <w:bottom w:type="dxa" w:w="40"/>
              <w:right w:type="dxa" w:w="80"/>
            </w:tcMar>
          </w:tcPr>
          <w:p>
            <w:r>
              <w:rPr>
                <w:b w:val="false"/>
                <w:bCs w:val="false"/>
                <w:sz w:val="18"/>
                <w:szCs w:val="18"/>
              </w:rPr>
              <w:t xml:space="preserve">Out-of-warranty battery replacement, iPhone 16</w:t>
            </w:r>
          </w:p>
        </w:tc>
        <w:tc>
          <w:tcPr>
            <w:tcW w:type="dxa" w:w="2191"/>
            <w:tcMar>
              <w:top w:type="dxa" w:w="40"/>
              <w:left w:type="dxa" w:w="80"/>
              <w:bottom w:type="dxa" w:w="40"/>
              <w:right w:type="dxa" w:w="80"/>
            </w:tcMar>
          </w:tcPr>
          <w:p>
            <w:r>
              <w:rPr>
                <w:b w:val="false"/>
                <w:bCs w:val="false"/>
                <w:sz w:val="18"/>
                <w:szCs w:val="18"/>
              </w:rPr>
              <w:t xml:space="preserve">$99 (sensitivity: $119, Pro models)</w:t>
            </w:r>
          </w:p>
        </w:tc>
        <w:tc>
          <w:tcPr>
            <w:tcW w:type="dxa" w:w="4182"/>
            <w:tcMar>
              <w:top w:type="dxa" w:w="40"/>
              <w:left w:type="dxa" w:w="80"/>
              <w:bottom w:type="dxa" w:w="40"/>
              <w:right w:type="dxa" w:w="80"/>
            </w:tcMar>
          </w:tcPr>
          <w:p>
            <w:r>
              <w:rPr>
                <w:b w:val="false"/>
                <w:bCs w:val="false"/>
                <w:sz w:val="18"/>
                <w:szCs w:val="18"/>
              </w:rPr>
              <w:t xml:space="preserve">Burkhardt (2024), citing Apple's iPhone Repair &amp; Service page</w:t>
            </w:r>
          </w:p>
        </w:tc>
      </w:tr>
      <w:tr>
        <w:tc>
          <w:tcPr>
            <w:tcW w:type="dxa" w:w="2987"/>
            <w:tcMar>
              <w:top w:type="dxa" w:w="40"/>
              <w:left w:type="dxa" w:w="80"/>
              <w:bottom w:type="dxa" w:w="40"/>
              <w:right w:type="dxa" w:w="80"/>
            </w:tcMar>
          </w:tcPr>
          <w:p>
            <w:r>
              <w:rPr>
                <w:b w:val="false"/>
                <w:bCs w:val="false"/>
                <w:sz w:val="18"/>
                <w:szCs w:val="18"/>
              </w:rPr>
              <w:t xml:space="preserve">Service fee per replacement</w:t>
            </w:r>
          </w:p>
        </w:tc>
        <w:tc>
          <w:tcPr>
            <w:tcW w:type="dxa" w:w="2191"/>
            <w:tcMar>
              <w:top w:type="dxa" w:w="40"/>
              <w:left w:type="dxa" w:w="80"/>
              <w:bottom w:type="dxa" w:w="40"/>
              <w:right w:type="dxa" w:w="80"/>
            </w:tcMar>
          </w:tcPr>
          <w:p>
            <w:r>
              <w:rPr>
                <w:b w:val="false"/>
                <w:bCs w:val="false"/>
                <w:sz w:val="18"/>
                <w:szCs w:val="18"/>
              </w:rPr>
              <w:t xml:space="preserve">$0 (in-store)</w:t>
            </w:r>
          </w:p>
        </w:tc>
        <w:tc>
          <w:tcPr>
            <w:tcW w:type="dxa" w:w="4182"/>
            <w:tcMar>
              <w:top w:type="dxa" w:w="40"/>
              <w:left w:type="dxa" w:w="80"/>
              <w:bottom w:type="dxa" w:w="40"/>
              <w:right w:type="dxa" w:w="80"/>
            </w:tcMar>
          </w:tcPr>
          <w:p>
            <w:r>
              <w:rPr>
                <w:b w:val="false"/>
                <w:bCs w:val="false"/>
                <w:sz w:val="18"/>
                <w:szCs w:val="18"/>
              </w:rPr>
              <w:t xml:space="preserve">Apple Support: a shipping fee applies only when the phone is mailed in</w:t>
            </w:r>
          </w:p>
        </w:tc>
      </w:tr>
      <w:tr>
        <w:tc>
          <w:tcPr>
            <w:tcW w:type="dxa" w:w="2987"/>
            <w:tcMar>
              <w:top w:type="dxa" w:w="40"/>
              <w:left w:type="dxa" w:w="80"/>
              <w:bottom w:type="dxa" w:w="40"/>
              <w:right w:type="dxa" w:w="80"/>
            </w:tcMar>
          </w:tcPr>
          <w:p>
            <w:r>
              <w:rPr>
                <w:b w:val="false"/>
                <w:bCs w:val="false"/>
                <w:sz w:val="18"/>
                <w:szCs w:val="18"/>
              </w:rPr>
              <w:t xml:space="preserve">Charger (same for every strategy)</w:t>
            </w:r>
          </w:p>
        </w:tc>
        <w:tc>
          <w:tcPr>
            <w:tcW w:type="dxa" w:w="2191"/>
            <w:tcMar>
              <w:top w:type="dxa" w:w="40"/>
              <w:left w:type="dxa" w:w="80"/>
              <w:bottom w:type="dxa" w:w="40"/>
              <w:right w:type="dxa" w:w="80"/>
            </w:tcMar>
          </w:tcPr>
          <w:p>
            <w:r>
              <w:rPr>
                <w:b w:val="false"/>
                <w:bCs w:val="false"/>
                <w:sz w:val="18"/>
                <w:szCs w:val="18"/>
              </w:rPr>
              <w:t xml:space="preserve">$19</w:t>
            </w:r>
          </w:p>
        </w:tc>
        <w:tc>
          <w:tcPr>
            <w:tcW w:type="dxa" w:w="4182"/>
            <w:tcMar>
              <w:top w:type="dxa" w:w="40"/>
              <w:left w:type="dxa" w:w="80"/>
              <w:bottom w:type="dxa" w:w="40"/>
              <w:right w:type="dxa" w:w="80"/>
            </w:tcMar>
          </w:tcPr>
          <w:p>
            <w:r>
              <w:rPr>
                <w:b w:val="false"/>
                <w:bCs w:val="false"/>
                <w:sz w:val="18"/>
                <w:szCs w:val="18"/>
              </w:rPr>
              <w:t xml:space="preserve">Apple Store, 20W USB-C Power Adapter (MWVV3AM/A)</w:t>
            </w:r>
          </w:p>
        </w:tc>
      </w:tr>
      <w:tr>
        <w:tc>
          <w:tcPr>
            <w:tcW w:type="dxa" w:w="2987"/>
            <w:tcMar>
              <w:top w:type="dxa" w:w="40"/>
              <w:left w:type="dxa" w:w="80"/>
              <w:bottom w:type="dxa" w:w="40"/>
              <w:right w:type="dxa" w:w="80"/>
            </w:tcMar>
          </w:tcPr>
          <w:p>
            <w:r>
              <w:rPr>
                <w:b w:val="false"/>
                <w:bCs w:val="false"/>
                <w:sz w:val="18"/>
                <w:szCs w:val="18"/>
              </w:rPr>
              <w:t xml:space="preserve">Device (phone-replacement case)</w:t>
            </w:r>
          </w:p>
        </w:tc>
        <w:tc>
          <w:tcPr>
            <w:tcW w:type="dxa" w:w="2191"/>
            <w:tcMar>
              <w:top w:type="dxa" w:w="40"/>
              <w:left w:type="dxa" w:w="80"/>
              <w:bottom w:type="dxa" w:w="40"/>
              <w:right w:type="dxa" w:w="80"/>
            </w:tcMar>
          </w:tcPr>
          <w:p>
            <w:r>
              <w:rPr>
                <w:b w:val="false"/>
                <w:bCs w:val="false"/>
                <w:sz w:val="18"/>
                <w:szCs w:val="18"/>
              </w:rPr>
              <w:t xml:space="preserve">$799</w:t>
            </w:r>
          </w:p>
        </w:tc>
        <w:tc>
          <w:tcPr>
            <w:tcW w:type="dxa" w:w="4182"/>
            <w:tcMar>
              <w:top w:type="dxa" w:w="40"/>
              <w:left w:type="dxa" w:w="80"/>
              <w:bottom w:type="dxa" w:w="40"/>
              <w:right w:type="dxa" w:w="80"/>
            </w:tcMar>
          </w:tcPr>
          <w:p>
            <w:r>
              <w:rPr>
                <w:b w:val="false"/>
                <w:bCs w:val="false"/>
                <w:sz w:val="18"/>
                <w:szCs w:val="18"/>
              </w:rPr>
              <w:t xml:space="preserve">Apple Store, iPhone 16 128GB</w:t>
            </w:r>
          </w:p>
        </w:tc>
      </w:tr>
      <w:tr>
        <w:tc>
          <w:tcPr>
            <w:tcW w:type="dxa" w:w="2987"/>
            <w:tcMar>
              <w:top w:type="dxa" w:w="40"/>
              <w:left w:type="dxa" w:w="80"/>
              <w:bottom w:type="dxa" w:w="40"/>
              <w:right w:type="dxa" w:w="80"/>
            </w:tcMar>
          </w:tcPr>
          <w:p>
            <w:r>
              <w:rPr>
                <w:b w:val="false"/>
                <w:bCs w:val="false"/>
                <w:sz w:val="18"/>
                <w:szCs w:val="18"/>
              </w:rPr>
              <w:t xml:space="preserve">Equivalent full cycles per year</w:t>
            </w:r>
          </w:p>
        </w:tc>
        <w:tc>
          <w:tcPr>
            <w:tcW w:type="dxa" w:w="2191"/>
            <w:tcMar>
              <w:top w:type="dxa" w:w="40"/>
              <w:left w:type="dxa" w:w="80"/>
              <w:bottom w:type="dxa" w:w="40"/>
              <w:right w:type="dxa" w:w="80"/>
            </w:tcMar>
          </w:tcPr>
          <w:p>
            <w:r>
              <w:rPr>
                <w:b w:val="false"/>
                <w:bCs w:val="false"/>
                <w:sz w:val="18"/>
                <w:szCs w:val="18"/>
              </w:rPr>
              <w:t xml:space="preserve">255.5 (0.7 per day)</w:t>
            </w:r>
          </w:p>
        </w:tc>
        <w:tc>
          <w:tcPr>
            <w:tcW w:type="dxa" w:w="4182"/>
            <w:tcMar>
              <w:top w:type="dxa" w:w="40"/>
              <w:left w:type="dxa" w:w="80"/>
              <w:bottom w:type="dxa" w:w="40"/>
              <w:right w:type="dxa" w:w="80"/>
            </w:tcMar>
          </w:tcPr>
          <w:p>
            <w:r>
              <w:rPr>
                <w:b w:val="false"/>
                <w:bCs w:val="false"/>
                <w:sz w:val="18"/>
                <w:szCs w:val="18"/>
              </w:rPr>
              <w:t xml:space="preserve">Aussems (2025); review-site estimate, not peer reviewed</w:t>
            </w:r>
          </w:p>
        </w:tc>
      </w:tr>
      <w:tr>
        <w:tc>
          <w:tcPr>
            <w:tcW w:type="dxa" w:w="2987"/>
            <w:tcMar>
              <w:top w:type="dxa" w:w="40"/>
              <w:left w:type="dxa" w:w="80"/>
              <w:bottom w:type="dxa" w:w="40"/>
              <w:right w:type="dxa" w:w="80"/>
            </w:tcMar>
          </w:tcPr>
          <w:p>
            <w:r>
              <w:rPr>
                <w:b w:val="false"/>
                <w:bCs w:val="false"/>
                <w:sz w:val="18"/>
                <w:szCs w:val="18"/>
              </w:rPr>
              <w:t xml:space="preserve">Ownership period</w:t>
            </w:r>
          </w:p>
        </w:tc>
        <w:tc>
          <w:tcPr>
            <w:tcW w:type="dxa" w:w="2191"/>
            <w:tcMar>
              <w:top w:type="dxa" w:w="40"/>
              <w:left w:type="dxa" w:w="80"/>
              <w:bottom w:type="dxa" w:w="40"/>
              <w:right w:type="dxa" w:w="80"/>
            </w:tcMar>
          </w:tcPr>
          <w:p>
            <w:r>
              <w:rPr>
                <w:b w:val="false"/>
                <w:bCs w:val="false"/>
                <w:sz w:val="18"/>
                <w:szCs w:val="18"/>
              </w:rPr>
              <w:t xml:space="preserve">3 years</w:t>
            </w:r>
          </w:p>
        </w:tc>
        <w:tc>
          <w:tcPr>
            <w:tcW w:type="dxa" w:w="4182"/>
            <w:tcMar>
              <w:top w:type="dxa" w:w="40"/>
              <w:left w:type="dxa" w:w="80"/>
              <w:bottom w:type="dxa" w:w="40"/>
              <w:right w:type="dxa" w:w="80"/>
            </w:tcMar>
          </w:tcPr>
          <w:p>
            <w:r>
              <w:rPr>
                <w:b w:val="false"/>
                <w:bCs w:val="false"/>
                <w:sz w:val="18"/>
                <w:szCs w:val="18"/>
              </w:rPr>
              <w:t xml:space="preserve">Apple (2024), iPhone 16 Product Environmental Report, p. 9</w:t>
            </w:r>
          </w:p>
        </w:tc>
      </w:tr>
    </w:tbl>
    <w:p>
      <w:pPr>
        <w:spacing w:after="120"/>
      </w:pPr>
      <w:r>
        <w:rPr>
          <w:b/>
          <w:bCs/>
        </w:rPr>
        <w:t xml:space="preserve">Table 2.</w:t>
      </w:r>
      <w:r>
        <w:t xml:space="preserve"> Three-year cost per owner by charging strategy (1,000 simulated owners; bootstrap 95% CIs; 2,000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9"/>
        <w:gridCol w:w="1433"/>
        <w:gridCol w:w="2197"/>
        <w:gridCol w:w="2006"/>
        <w:gridCol w:w="2005"/>
      </w:tblGrid>
      <w:tr>
        <w:trPr>
          <w:tblHeader/>
        </w:trPr>
        <w:tc>
          <w:tcPr>
            <w:tcW w:type="dxa" w:w="1719"/>
            <w:shd w:fill="E8EEF7" w:color="auto" w:val="clear"/>
            <w:tcMar>
              <w:top w:type="dxa" w:w="40"/>
              <w:left w:type="dxa" w:w="80"/>
              <w:bottom w:type="dxa" w:w="40"/>
              <w:right w:type="dxa" w:w="80"/>
            </w:tcMar>
          </w:tcPr>
          <w:p>
            <w:r>
              <w:rPr>
                <w:b/>
                <w:bCs/>
                <w:sz w:val="18"/>
                <w:szCs w:val="18"/>
              </w:rPr>
              <w:t xml:space="preserve">Strategy</w:t>
            </w:r>
          </w:p>
        </w:tc>
        <w:tc>
          <w:tcPr>
            <w:tcW w:type="dxa" w:w="1433"/>
            <w:shd w:fill="E8EEF7" w:color="auto" w:val="clear"/>
            <w:tcMar>
              <w:top w:type="dxa" w:w="40"/>
              <w:left w:type="dxa" w:w="80"/>
              <w:bottom w:type="dxa" w:w="40"/>
              <w:right w:type="dxa" w:w="80"/>
            </w:tcMar>
          </w:tcPr>
          <w:p>
            <w:r>
              <w:rPr>
                <w:b/>
                <w:bCs/>
                <w:sz w:val="18"/>
                <w:szCs w:val="18"/>
              </w:rPr>
              <w:t xml:space="preserve">Owners needing a replacement in 3 yr</w:t>
            </w:r>
          </w:p>
        </w:tc>
        <w:tc>
          <w:tcPr>
            <w:tcW w:type="dxa" w:w="2197"/>
            <w:shd w:fill="E8EEF7" w:color="auto" w:val="clear"/>
            <w:tcMar>
              <w:top w:type="dxa" w:w="40"/>
              <w:left w:type="dxa" w:w="80"/>
              <w:bottom w:type="dxa" w:w="40"/>
              <w:right w:type="dxa" w:w="80"/>
            </w:tcMar>
          </w:tcPr>
          <w:p>
            <w:r>
              <w:rPr>
                <w:b/>
                <w:bCs/>
                <w:sz w:val="18"/>
                <w:szCs w:val="18"/>
              </w:rPr>
              <w:t xml:space="preserve">3-yr cost per owner, battery replaced [95% CI]</w:t>
            </w:r>
          </w:p>
        </w:tc>
        <w:tc>
          <w:tcPr>
            <w:tcW w:type="dxa" w:w="2006"/>
            <w:shd w:fill="E8EEF7" w:color="auto" w:val="clear"/>
            <w:tcMar>
              <w:top w:type="dxa" w:w="40"/>
              <w:left w:type="dxa" w:w="80"/>
              <w:bottom w:type="dxa" w:w="40"/>
              <w:right w:type="dxa" w:w="80"/>
            </w:tcMar>
          </w:tcPr>
          <w:p>
            <w:r>
              <w:rPr>
                <w:b/>
                <w:bCs/>
                <w:sz w:val="18"/>
                <w:szCs w:val="18"/>
              </w:rPr>
              <w:t xml:space="preserve">Saving vs fast, battery replaced [95% CI]</w:t>
            </w:r>
          </w:p>
        </w:tc>
        <w:tc>
          <w:tcPr>
            <w:tcW w:type="dxa" w:w="2005"/>
            <w:shd w:fill="E8EEF7" w:color="auto" w:val="clear"/>
            <w:tcMar>
              <w:top w:type="dxa" w:w="40"/>
              <w:left w:type="dxa" w:w="80"/>
              <w:bottom w:type="dxa" w:w="40"/>
              <w:right w:type="dxa" w:w="80"/>
            </w:tcMar>
          </w:tcPr>
          <w:p>
            <w:r>
              <w:rPr>
                <w:b/>
                <w:bCs/>
                <w:sz w:val="18"/>
                <w:szCs w:val="18"/>
              </w:rPr>
              <w:t xml:space="preserve">Saving vs fast, phone replaced [95% CI]</w:t>
            </w:r>
          </w:p>
        </w:tc>
      </w:tr>
      <w:tr>
        <w:tc>
          <w:tcPr>
            <w:tcW w:type="dxa" w:w="1719"/>
            <w:tcMar>
              <w:top w:type="dxa" w:w="40"/>
              <w:left w:type="dxa" w:w="80"/>
              <w:bottom w:type="dxa" w:w="40"/>
              <w:right w:type="dxa" w:w="80"/>
            </w:tcMar>
          </w:tcPr>
          <w:p>
            <w:r>
              <w:rPr>
                <w:b w:val="false"/>
                <w:bCs w:val="false"/>
                <w:sz w:val="18"/>
                <w:szCs w:val="18"/>
              </w:rPr>
              <w:t xml:space="preserve">Fast 3C (CC-CV, 100%)</w:t>
            </w:r>
          </w:p>
        </w:tc>
        <w:tc>
          <w:tcPr>
            <w:tcW w:type="dxa" w:w="1433"/>
            <w:tcMar>
              <w:top w:type="dxa" w:w="40"/>
              <w:left w:type="dxa" w:w="80"/>
              <w:bottom w:type="dxa" w:w="40"/>
              <w:right w:type="dxa" w:w="80"/>
            </w:tcMar>
          </w:tcPr>
          <w:p>
            <w:r>
              <w:rPr>
                <w:b w:val="false"/>
                <w:bCs w:val="false"/>
                <w:sz w:val="18"/>
                <w:szCs w:val="18"/>
              </w:rPr>
              <w:t xml:space="preserve">6.2%</w:t>
            </w:r>
          </w:p>
        </w:tc>
        <w:tc>
          <w:tcPr>
            <w:tcW w:type="dxa" w:w="2197"/>
            <w:tcMar>
              <w:top w:type="dxa" w:w="40"/>
              <w:left w:type="dxa" w:w="80"/>
              <w:bottom w:type="dxa" w:w="40"/>
              <w:right w:type="dxa" w:w="80"/>
            </w:tcMar>
          </w:tcPr>
          <w:p>
            <w:r>
              <w:rPr>
                <w:b w:val="false"/>
                <w:bCs w:val="false"/>
                <w:sz w:val="18"/>
                <w:szCs w:val="18"/>
              </w:rPr>
              <w:t xml:space="preserve">$25.14 [23.75, 26.52]</w:t>
            </w:r>
          </w:p>
        </w:tc>
        <w:tc>
          <w:tcPr>
            <w:tcW w:type="dxa" w:w="2006"/>
            <w:tcMar>
              <w:top w:type="dxa" w:w="40"/>
              <w:left w:type="dxa" w:w="80"/>
              <w:bottom w:type="dxa" w:w="40"/>
              <w:right w:type="dxa" w:w="80"/>
            </w:tcMar>
          </w:tcPr>
          <w:p>
            <w:r>
              <w:rPr>
                <w:b w:val="false"/>
                <w:bCs w:val="false"/>
                <w:sz w:val="18"/>
                <w:szCs w:val="18"/>
              </w:rPr>
              <w:t xml:space="preserve">reference</w:t>
            </w:r>
          </w:p>
        </w:tc>
        <w:tc>
          <w:tcPr>
            <w:tcW w:type="dxa" w:w="2005"/>
            <w:tcMar>
              <w:top w:type="dxa" w:w="40"/>
              <w:left w:type="dxa" w:w="80"/>
              <w:bottom w:type="dxa" w:w="40"/>
              <w:right w:type="dxa" w:w="80"/>
            </w:tcMar>
          </w:tcPr>
          <w:p>
            <w:r>
              <w:rPr>
                <w:b w:val="false"/>
                <w:bCs w:val="false"/>
                <w:sz w:val="18"/>
                <w:szCs w:val="18"/>
              </w:rPr>
              <w:t xml:space="preserve">reference</w:t>
            </w:r>
          </w:p>
        </w:tc>
      </w:tr>
      <w:tr>
        <w:tc>
          <w:tcPr>
            <w:tcW w:type="dxa" w:w="1719"/>
            <w:tcMar>
              <w:top w:type="dxa" w:w="40"/>
              <w:left w:type="dxa" w:w="80"/>
              <w:bottom w:type="dxa" w:w="40"/>
              <w:right w:type="dxa" w:w="80"/>
            </w:tcMar>
          </w:tcPr>
          <w:p>
            <w:r>
              <w:rPr>
                <w:b w:val="false"/>
                <w:bCs w:val="false"/>
                <w:sz w:val="18"/>
                <w:szCs w:val="18"/>
              </w:rPr>
              <w:t xml:space="preserve">80% limit (3C)</w:t>
            </w:r>
          </w:p>
        </w:tc>
        <w:tc>
          <w:tcPr>
            <w:tcW w:type="dxa" w:w="1433"/>
            <w:tcMar>
              <w:top w:type="dxa" w:w="40"/>
              <w:left w:type="dxa" w:w="80"/>
              <w:bottom w:type="dxa" w:w="40"/>
              <w:right w:type="dxa" w:w="80"/>
            </w:tcMar>
          </w:tcPr>
          <w:p>
            <w:r>
              <w:rPr>
                <w:b w:val="false"/>
                <w:bCs w:val="false"/>
                <w:sz w:val="18"/>
                <w:szCs w:val="18"/>
              </w:rPr>
              <w:t xml:space="preserve">6.2%</w:t>
            </w:r>
          </w:p>
        </w:tc>
        <w:tc>
          <w:tcPr>
            <w:tcW w:type="dxa" w:w="2197"/>
            <w:tcMar>
              <w:top w:type="dxa" w:w="40"/>
              <w:left w:type="dxa" w:w="80"/>
              <w:bottom w:type="dxa" w:w="40"/>
              <w:right w:type="dxa" w:w="80"/>
            </w:tcMar>
          </w:tcPr>
          <w:p>
            <w:r>
              <w:rPr>
                <w:b w:val="false"/>
                <w:bCs w:val="false"/>
                <w:sz w:val="18"/>
                <w:szCs w:val="18"/>
              </w:rPr>
              <w:t xml:space="preserve">$25.14 [23.75, 26.52]</w:t>
            </w:r>
          </w:p>
        </w:tc>
        <w:tc>
          <w:tcPr>
            <w:tcW w:type="dxa" w:w="2006"/>
            <w:tcMar>
              <w:top w:type="dxa" w:w="40"/>
              <w:left w:type="dxa" w:w="80"/>
              <w:bottom w:type="dxa" w:w="40"/>
              <w:right w:type="dxa" w:w="80"/>
            </w:tcMar>
          </w:tcPr>
          <w:p>
            <w:r>
              <w:rPr>
                <w:b w:val="false"/>
                <w:bCs w:val="false"/>
                <w:sz w:val="18"/>
                <w:szCs w:val="18"/>
              </w:rPr>
              <w:t xml:space="preserve">$0.00 [0.00, 0.00]</w:t>
            </w:r>
          </w:p>
        </w:tc>
        <w:tc>
          <w:tcPr>
            <w:tcW w:type="dxa" w:w="2005"/>
            <w:tcMar>
              <w:top w:type="dxa" w:w="40"/>
              <w:left w:type="dxa" w:w="80"/>
              <w:bottom w:type="dxa" w:w="40"/>
              <w:right w:type="dxa" w:w="80"/>
            </w:tcMar>
          </w:tcPr>
          <w:p>
            <w:r>
              <w:rPr>
                <w:b w:val="false"/>
                <w:bCs w:val="false"/>
                <w:sz w:val="18"/>
                <w:szCs w:val="18"/>
              </w:rPr>
              <w:t xml:space="preserve">$0.00 [0.00, 0.00]</w:t>
            </w:r>
          </w:p>
        </w:tc>
      </w:tr>
      <w:tr>
        <w:tc>
          <w:tcPr>
            <w:tcW w:type="dxa" w:w="1719"/>
            <w:tcMar>
              <w:top w:type="dxa" w:w="40"/>
              <w:left w:type="dxa" w:w="80"/>
              <w:bottom w:type="dxa" w:w="40"/>
              <w:right w:type="dxa" w:w="80"/>
            </w:tcMar>
          </w:tcPr>
          <w:p>
            <w:r>
              <w:rPr>
                <w:b w:val="false"/>
                <w:bCs w:val="false"/>
                <w:sz w:val="18"/>
                <w:szCs w:val="18"/>
              </w:rPr>
              <w:t xml:space="preserve">Multistage (3C)</w:t>
            </w:r>
          </w:p>
        </w:tc>
        <w:tc>
          <w:tcPr>
            <w:tcW w:type="dxa" w:w="1433"/>
            <w:tcMar>
              <w:top w:type="dxa" w:w="40"/>
              <w:left w:type="dxa" w:w="80"/>
              <w:bottom w:type="dxa" w:w="40"/>
              <w:right w:type="dxa" w:w="80"/>
            </w:tcMar>
          </w:tcPr>
          <w:p>
            <w:r>
              <w:rPr>
                <w:b w:val="false"/>
                <w:bCs w:val="false"/>
                <w:sz w:val="18"/>
                <w:szCs w:val="18"/>
              </w:rPr>
              <w:t xml:space="preserve">6.2%</w:t>
            </w:r>
          </w:p>
        </w:tc>
        <w:tc>
          <w:tcPr>
            <w:tcW w:type="dxa" w:w="2197"/>
            <w:tcMar>
              <w:top w:type="dxa" w:w="40"/>
              <w:left w:type="dxa" w:w="80"/>
              <w:bottom w:type="dxa" w:w="40"/>
              <w:right w:type="dxa" w:w="80"/>
            </w:tcMar>
          </w:tcPr>
          <w:p>
            <w:r>
              <w:rPr>
                <w:b w:val="false"/>
                <w:bCs w:val="false"/>
                <w:sz w:val="18"/>
                <w:szCs w:val="18"/>
              </w:rPr>
              <w:t xml:space="preserve">$25.14 [23.75, 26.52]</w:t>
            </w:r>
          </w:p>
        </w:tc>
        <w:tc>
          <w:tcPr>
            <w:tcW w:type="dxa" w:w="2006"/>
            <w:tcMar>
              <w:top w:type="dxa" w:w="40"/>
              <w:left w:type="dxa" w:w="80"/>
              <w:bottom w:type="dxa" w:w="40"/>
              <w:right w:type="dxa" w:w="80"/>
            </w:tcMar>
          </w:tcPr>
          <w:p>
            <w:r>
              <w:rPr>
                <w:b w:val="false"/>
                <w:bCs w:val="false"/>
                <w:sz w:val="18"/>
                <w:szCs w:val="18"/>
              </w:rPr>
              <w:t xml:space="preserve">$0.00 [0.00, 0.00]</w:t>
            </w:r>
          </w:p>
        </w:tc>
        <w:tc>
          <w:tcPr>
            <w:tcW w:type="dxa" w:w="2005"/>
            <w:tcMar>
              <w:top w:type="dxa" w:w="40"/>
              <w:left w:type="dxa" w:w="80"/>
              <w:bottom w:type="dxa" w:w="40"/>
              <w:right w:type="dxa" w:w="80"/>
            </w:tcMar>
          </w:tcPr>
          <w:p>
            <w:r>
              <w:rPr>
                <w:b w:val="false"/>
                <w:bCs w:val="false"/>
                <w:sz w:val="18"/>
                <w:szCs w:val="18"/>
              </w:rPr>
              <w:t xml:space="preserve">$0.00 [0.00, 0.00]</w:t>
            </w:r>
          </w:p>
        </w:tc>
      </w:tr>
      <w:tr>
        <w:tc>
          <w:tcPr>
            <w:tcW w:type="dxa" w:w="1719"/>
            <w:tcMar>
              <w:top w:type="dxa" w:w="40"/>
              <w:left w:type="dxa" w:w="80"/>
              <w:bottom w:type="dxa" w:w="40"/>
              <w:right w:type="dxa" w:w="80"/>
            </w:tcMar>
          </w:tcPr>
          <w:p>
            <w:r>
              <w:rPr>
                <w:b w:val="false"/>
                <w:bCs w:val="false"/>
                <w:sz w:val="18"/>
                <w:szCs w:val="18"/>
              </w:rPr>
              <w:t xml:space="preserve">Slower 2C</w:t>
            </w:r>
          </w:p>
        </w:tc>
        <w:tc>
          <w:tcPr>
            <w:tcW w:type="dxa" w:w="1433"/>
            <w:tcMar>
              <w:top w:type="dxa" w:w="40"/>
              <w:left w:type="dxa" w:w="80"/>
              <w:bottom w:type="dxa" w:w="40"/>
              <w:right w:type="dxa" w:w="80"/>
            </w:tcMar>
          </w:tcPr>
          <w:p>
            <w:r>
              <w:rPr>
                <w:b w:val="false"/>
                <w:bCs w:val="false"/>
                <w:sz w:val="18"/>
                <w:szCs w:val="18"/>
              </w:rPr>
              <w:t xml:space="preserve">1.6%</w:t>
            </w:r>
          </w:p>
        </w:tc>
        <w:tc>
          <w:tcPr>
            <w:tcW w:type="dxa" w:w="2197"/>
            <w:tcMar>
              <w:top w:type="dxa" w:w="40"/>
              <w:left w:type="dxa" w:w="80"/>
              <w:bottom w:type="dxa" w:w="40"/>
              <w:right w:type="dxa" w:w="80"/>
            </w:tcMar>
          </w:tcPr>
          <w:p>
            <w:r>
              <w:rPr>
                <w:b w:val="false"/>
                <w:bCs w:val="false"/>
                <w:sz w:val="18"/>
                <w:szCs w:val="18"/>
              </w:rPr>
              <w:t xml:space="preserve">$20.58 [19.89, 21.38]</w:t>
            </w:r>
          </w:p>
        </w:tc>
        <w:tc>
          <w:tcPr>
            <w:tcW w:type="dxa" w:w="2006"/>
            <w:tcMar>
              <w:top w:type="dxa" w:w="40"/>
              <w:left w:type="dxa" w:w="80"/>
              <w:bottom w:type="dxa" w:w="40"/>
              <w:right w:type="dxa" w:w="80"/>
            </w:tcMar>
          </w:tcPr>
          <w:p>
            <w:r>
              <w:rPr>
                <w:b w:val="false"/>
                <w:bCs w:val="false"/>
                <w:sz w:val="18"/>
                <w:szCs w:val="18"/>
              </w:rPr>
              <w:t xml:space="preserve">$4.55 [3.37, 5.84]</w:t>
            </w:r>
          </w:p>
        </w:tc>
        <w:tc>
          <w:tcPr>
            <w:tcW w:type="dxa" w:w="2005"/>
            <w:tcMar>
              <w:top w:type="dxa" w:w="40"/>
              <w:left w:type="dxa" w:w="80"/>
              <w:bottom w:type="dxa" w:w="40"/>
              <w:right w:type="dxa" w:w="80"/>
            </w:tcMar>
          </w:tcPr>
          <w:p>
            <w:r>
              <w:rPr>
                <w:b w:val="false"/>
                <w:bCs w:val="false"/>
                <w:sz w:val="18"/>
                <w:szCs w:val="18"/>
              </w:rPr>
              <w:t xml:space="preserve">$36.75 [27.17, 47.14]</w:t>
            </w:r>
          </w:p>
        </w:tc>
      </w:tr>
      <w:tr>
        <w:tc>
          <w:tcPr>
            <w:tcW w:type="dxa" w:w="1719"/>
            <w:tcMar>
              <w:top w:type="dxa" w:w="40"/>
              <w:left w:type="dxa" w:w="80"/>
              <w:bottom w:type="dxa" w:w="40"/>
              <w:right w:type="dxa" w:w="80"/>
            </w:tcMar>
          </w:tcPr>
          <w:p>
            <w:r>
              <w:rPr>
                <w:b w:val="false"/>
                <w:bCs w:val="false"/>
                <w:sz w:val="18"/>
                <w:szCs w:val="18"/>
              </w:rPr>
              <w:t xml:space="preserve">Slower 1C</w:t>
            </w:r>
          </w:p>
        </w:tc>
        <w:tc>
          <w:tcPr>
            <w:tcW w:type="dxa" w:w="1433"/>
            <w:tcMar>
              <w:top w:type="dxa" w:w="40"/>
              <w:left w:type="dxa" w:w="80"/>
              <w:bottom w:type="dxa" w:w="40"/>
              <w:right w:type="dxa" w:w="80"/>
            </w:tcMar>
          </w:tcPr>
          <w:p>
            <w:r>
              <w:rPr>
                <w:b w:val="false"/>
                <w:bCs w:val="false"/>
                <w:sz w:val="18"/>
                <w:szCs w:val="18"/>
              </w:rPr>
              <w:t xml:space="preserve">0.3%</w:t>
            </w:r>
          </w:p>
        </w:tc>
        <w:tc>
          <w:tcPr>
            <w:tcW w:type="dxa" w:w="2197"/>
            <w:tcMar>
              <w:top w:type="dxa" w:w="40"/>
              <w:left w:type="dxa" w:w="80"/>
              <w:bottom w:type="dxa" w:w="40"/>
              <w:right w:type="dxa" w:w="80"/>
            </w:tcMar>
          </w:tcPr>
          <w:p>
            <w:r>
              <w:rPr>
                <w:b w:val="false"/>
                <w:bCs w:val="false"/>
                <w:sz w:val="18"/>
                <w:szCs w:val="18"/>
              </w:rPr>
              <w:t xml:space="preserve">$19.30 [19.00, 19.69]</w:t>
            </w:r>
          </w:p>
        </w:tc>
        <w:tc>
          <w:tcPr>
            <w:tcW w:type="dxa" w:w="2006"/>
            <w:tcMar>
              <w:top w:type="dxa" w:w="40"/>
              <w:left w:type="dxa" w:w="80"/>
              <w:bottom w:type="dxa" w:w="40"/>
              <w:right w:type="dxa" w:w="80"/>
            </w:tcMar>
          </w:tcPr>
          <w:p>
            <w:r>
              <w:rPr>
                <w:b w:val="false"/>
                <w:bCs w:val="false"/>
                <w:sz w:val="18"/>
                <w:szCs w:val="18"/>
              </w:rPr>
              <w:t xml:space="preserve">$5.84 [4.45, 7.33]</w:t>
            </w:r>
          </w:p>
        </w:tc>
        <w:tc>
          <w:tcPr>
            <w:tcW w:type="dxa" w:w="2005"/>
            <w:tcMar>
              <w:top w:type="dxa" w:w="40"/>
              <w:left w:type="dxa" w:w="80"/>
              <w:bottom w:type="dxa" w:w="40"/>
              <w:right w:type="dxa" w:w="80"/>
            </w:tcMar>
          </w:tcPr>
          <w:p>
            <w:r>
              <w:rPr>
                <w:b w:val="false"/>
                <w:bCs w:val="false"/>
                <w:sz w:val="18"/>
                <w:szCs w:val="18"/>
              </w:rPr>
              <w:t xml:space="preserve">$47.14 [35.95, 59.13]</w:t>
            </w:r>
          </w:p>
        </w:tc>
      </w:tr>
    </w:tbl>
    <w:p>
      <w:pPr>
        <w:spacing w:after="200"/>
      </w:pPr>
      <w:r>
        <w:rPr>
          <w:i/>
          <w:iCs/>
          <w:color w:val="555555"/>
          <w:sz w:val="18"/>
          <w:szCs w:val="18"/>
        </w:rPr>
        <w:t xml:space="preserve">80% limit and multistage: life effects not modelled, so their costs equal fast charging by construction.</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1.</w:t>
      </w:r>
      <w:r>
        <w:t xml:space="preserve"> Savings per owner over three years from slower charging, compared with fast 3C charging, if the owner replaces the battery (blue) or the whole phone (red). Bars are bootstrap 95% CIs.</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2.</w:t>
      </w:r>
      <w:r>
        <w:t xml:space="preserve"> Cumulative battery-replacement spend per owner by year of ownership. Most of the difference appears in year three.</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3.</w:t>
      </w:r>
      <w:r>
        <w:t xml:space="preserve"> Expected three-year cost per owner (charger plus battery replacements) by strategy.</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4.</w:t>
      </w:r>
      <w:r>
        <w:t xml:space="preserve"> Share of owners needing at least one battery replacement within three years.</w:t>
      </w:r>
    </w:p>
    <w:p>
      <w:pPr>
        <w:pStyle w:val="Heading1"/>
        <w:spacing w:before="240" w:after="120"/>
      </w:pPr>
      <w:r>
        <w:t xml:space="preserve">References</w:t>
      </w:r>
    </w:p>
    <w:p>
      <w:pPr>
        <w:spacing w:after="100"/>
        <w:ind w:left="720" w:hanging="720"/>
      </w:pPr>
      <w:r>
        <w:t xml:space="preserve">Apple Inc. (n.d.-d). </w:t>
      </w:r>
      <w:r>
        <w:rPr>
          <w:i/>
          <w:iCs/>
        </w:rPr>
        <w:t xml:space="preserve">20W USB-C Power Adapter</w:t>
      </w:r>
      <w:r>
        <w:t xml:space="preserve"> [Product listing, MWVV3AM/A]. Apple Store. Retrieved October 28, 2026, from https://www.apple.com/us/search/20W-USB-C-Power-Adapter</w:t>
      </w:r>
    </w:p>
    <w:p>
      <w:pPr>
        <w:spacing w:after="100"/>
        <w:ind w:left="720" w:hanging="720"/>
      </w:pPr>
      <w:r>
        <w:t xml:space="preserve">Apple Inc. (2024). </w:t>
      </w:r>
      <w:r>
        <w:rPr>
          <w:i/>
          <w:iCs/>
        </w:rPr>
        <w:t xml:space="preserve">Product environmental report: iPhone 16 and iPhone 16 Plus</w:t>
      </w:r>
      <w:r>
        <w:t xml:space="preserve">. https://www.apple.com/environment/pdf/products/iphone/iPhone_16_and_iPhone_16_Plus_PER_Sept2024.pdf</w:t>
      </w:r>
    </w:p>
    <w:p>
      <w:pPr>
        <w:spacing w:after="100"/>
        <w:ind w:left="720" w:hanging="720"/>
      </w:pPr>
      <w:r>
        <w:t xml:space="preserve">Apple Inc. (n.d.-c). </w:t>
      </w:r>
      <w:r>
        <w:rPr>
          <w:i/>
          <w:iCs/>
        </w:rPr>
        <w:t xml:space="preserve">Buy iPhone 16</w:t>
      </w:r>
      <w:r>
        <w:t xml:space="preserve">. Apple Store. Retrieved October 28, 2026, from https://www.apple.com/shop/buy-iphone/iphone-16</w:t>
      </w:r>
    </w:p>
    <w:p>
      <w:pPr>
        <w:spacing w:after="100"/>
        <w:ind w:left="720" w:hanging="720"/>
      </w:pPr>
      <w:r>
        <w:t xml:space="preserve">Apple Inc. (n.d.-b). </w:t>
      </w:r>
      <w:r>
        <w:rPr>
          <w:i/>
          <w:iCs/>
        </w:rPr>
        <w:t xml:space="preserve">iPhone battery replacement</w:t>
      </w:r>
      <w:r>
        <w:t xml:space="preserve">. Apple Support. Retrieved October 28, 2026, from https://support.apple.com/iphone/repair/battery-replacement</w:t>
      </w:r>
    </w:p>
    <w:p>
      <w:pPr>
        <w:spacing w:after="100"/>
        <w:ind w:left="720" w:hanging="720"/>
      </w:pPr>
      <w:r>
        <w:t xml:space="preserve">Aussems, M. (2025, July 4). </w:t>
      </w:r>
      <w:r>
        <w:rPr>
          <w:i/>
          <w:iCs/>
        </w:rPr>
        <w:t xml:space="preserve">iPhone battery twice as bad as Samsung: Which manufacturer performs best?</w:t>
      </w:r>
      <w:r>
        <w:t xml:space="preserve"> ITdaily. https://itdaily.com/blogs/workplace/iphone-battery-twice-as-bad-as-samsung-which-manufacturer-performs-best/</w:t>
      </w:r>
    </w:p>
    <w:p>
      <w:pPr>
        <w:spacing w:after="100"/>
        <w:ind w:left="720" w:hanging="720"/>
      </w:pPr>
      <w:r>
        <w:t xml:space="preserve">Burkhardt, M. (2024, September 15). </w:t>
      </w:r>
      <w:r>
        <w:rPr>
          <w:i/>
          <w:iCs/>
        </w:rPr>
        <w:t xml:space="preserve">iPhone 16 Pro battery replacement</w:t>
      </w:r>
      <w:r>
        <w:t xml:space="preserve"> [News article]. 9to5Mac. https://9to5mac.com/2024/09/15/iphone-16-pro-battery-replacement/</w:t>
      </w:r>
    </w:p>
    <w:p>
      <w:pPr>
        <w:spacing w:after="100"/>
        <w:ind w:left="720" w:hanging="720"/>
      </w:pPr>
      <w:r>
        <w:t xml:space="preserve">Diao, W., Saxena, S., &amp; Pecht, M. (2019). Accelerated cycle life testing and capacity degradation modeling of LiCoO2-graphite cells. </w:t>
      </w:r>
      <w:r>
        <w:rPr>
          <w:i/>
          <w:iCs/>
        </w:rPr>
        <w:t xml:space="preserve">Journal of Power Sources, 435</w:t>
      </w:r>
      <w:r>
        <w:t xml:space="preserve">, 226830. https://doi.org/10.1016/j.jpowsour.2019.226830</w:t>
      </w:r>
    </w:p>
    <w:p>
      <w:pPr>
        <w:spacing w:after="100"/>
        <w:ind w:left="720" w:hanging="720"/>
      </w:pPr>
      <w:r>
        <w:t xml:space="preserve">Fraser, T. (n.d.). </w:t>
      </w:r>
      <w:r>
        <w:rPr>
          <w:i/>
          <w:iCs/>
        </w:rPr>
        <w:t xml:space="preserve">ZZ_financial_analysis</w:t>
      </w:r>
      <w:r>
        <w:t xml:space="preserve"> [Computer code]. sysen repository, GitHub. https://github.com/timothyfraser/sysen</w:t>
      </w:r>
    </w:p>
    <w:p>
      <w:pPr>
        <w:spacing w:after="100"/>
        <w:ind w:left="720" w:hanging="720"/>
      </w:pPr>
      <w:r>
        <w:t xml:space="preserve">Severson, K. A., Attia, P. M., Jin, N., Perkins, N., Jiang, B., Yang, Z., Chen, M. H., Aykol, M., Herring, P. K., Fraggedakis, D., Bazant, M. Z., Harris, S. J., Chueh, W. C., &amp; Braatz, R. D. (2019). Data-driven prediction of battery cycle life before capacity degradation. </w:t>
      </w:r>
      <w:r>
        <w:rPr>
          <w:i/>
          <w:iCs/>
        </w:rPr>
        <w:t xml:space="preserve">Nature Energy, 4</w:t>
      </w:r>
      <w:r>
        <w:t xml:space="preserve">(5), 383–391. https://doi.org/10.1038/s41560-019-0356-8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597"/>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3fcb1f9bf398b163b69ee1524b965d93f241bb3.png"/><Relationship Id="rId7" Type="http://schemas.openxmlformats.org/officeDocument/2006/relationships/image" Target="media/aaf4163c9f9982b032eb2c81970cd7ea0c788b0e.png"/><Relationship Id="rId8" Type="http://schemas.openxmlformats.org/officeDocument/2006/relationships/image" Target="media/06d6f229b02080be968267a74cb22eda9383e497.png"/><Relationship Id="rId9" Type="http://schemas.openxmlformats.org/officeDocument/2006/relationships/image" Target="media/35a950ca609bcce0843b9f85e044d00c156f2c5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Impacts</dc:title>
  <dc:creator>Battery fast-charging project team</dc:creator>
  <cp:lastModifiedBy>Un-named</cp:lastModifiedBy>
  <cp:revision>1</cp:revision>
  <dcterms:created xsi:type="dcterms:W3CDTF">2026-10-29T03:09:06.925Z</dcterms:created>
  <dcterms:modified xsi:type="dcterms:W3CDTF">2026-10-29T03:09:06.925Z</dcterms:modified>
</cp:coreProperties>
</file>

<file path=docProps/custom.xml><?xml version="1.0" encoding="utf-8"?>
<Properties xmlns="http://schemas.openxmlformats.org/officeDocument/2006/custom-properties" xmlns:vt="http://schemas.openxmlformats.org/officeDocument/2006/docPropsVTypes"/>
</file>