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6"/>
          <w:szCs w:val="36"/>
        </w:rPr>
        <w:t xml:space="preserve">Preliminary Methods and Results</w:t>
      </w:r>
    </w:p>
    <w:p>
      <w:pPr>
        <w:pBdr>
          <w:bottom w:val="single" w:color="1F3864" w:sz="6" w:space="4"/>
        </w:pBdr>
        <w:spacing w:after="240"/>
      </w:pPr>
      <w:r>
        <w:rPr>
          <w:color w:val="555555"/>
          <w:sz w:val="22"/>
          <w:szCs w:val="22"/>
        </w:rPr>
        <w:t xml:space="preserve">Does fast charging make smartphone batteries degrade faster? — Six Sigma simulation study</w:t>
      </w:r>
    </w:p>
    <w:p>
      <w:pPr>
        <w:pStyle w:val="Heading1"/>
        <w:spacing w:before="240" w:after="120"/>
      </w:pPr>
      <w:r>
        <w:t xml:space="preserve">Measures</w:t>
      </w:r>
    </w:p>
    <w:p>
      <w:pPr>
        <w:spacing w:after="120"/>
      </w:pPr>
      <w:r>
        <w:t xml:space="preserve">The unit of observation is one simulated smartphone battery, and we record five measures for each. </w:t>
      </w:r>
      <w:r>
        <w:rPr>
          <w:b/>
          <w:bCs/>
        </w:rPr>
        <w:t xml:space="preserve">Cycles to 80% health</w:t>
      </w:r>
      <w:r>
        <w:t xml:space="preserve"> counts equivalent full charge cycles until capacity falls to 80% of nominal, the end-of-life definition used by Severson et al. (2019) and by Apple's ratings (Apple, n.d.-a). </w:t>
      </w:r>
      <w:r>
        <w:rPr>
          <w:b/>
          <w:bCs/>
        </w:rPr>
        <w:t xml:space="preserve">Health at 500 and 1,000 cycles</w:t>
      </w:r>
      <w:r>
        <w:t xml:space="preserve"> is capacity as a fraction of nominal at Apple's two rated cycle counts; a battery already past end of life is flagged rather than given a number. </w:t>
      </w:r>
      <w:r>
        <w:rPr>
          <w:b/>
          <w:bCs/>
        </w:rPr>
        <w:t xml:space="preserve">Minutes to 80% charge</w:t>
      </w:r>
      <w:r>
        <w:t xml:space="preserve"> is the convenience measure users notice. </w:t>
      </w:r>
      <w:r>
        <w:rPr>
          <w:b/>
          <w:bCs/>
        </w:rPr>
        <w:t xml:space="preserve">Peak battery temperature</w:t>
      </w:r>
      <w:r>
        <w:t xml:space="preserve"> is ambient temperature plus the charge-phase rise. Together these put the trade-off in one place: speed and heat against lifespan. Life is also summarised as Weibull reliability (β, η, MTTF and R(t)).</w:t>
      </w:r>
    </w:p>
    <w:p>
      <w:pPr>
        <w:pStyle w:val="Heading1"/>
        <w:spacing w:before="240" w:after="120"/>
      </w:pPr>
      <w:r>
        <w:t xml:space="preserve">Assumptions</w:t>
      </w:r>
    </w:p>
    <w:p>
      <w:pPr>
        <w:spacing w:after="120"/>
      </w:pPr>
      <w:r>
        <w:t xml:space="preserve">Every model number comes from a published source, a manufacturer rating, or a fit to a published dataset; anything we could not verify was left out. That rule forced four simplifications. First, life is modelled on LFP cells (Severson et al., 2019), not the LCO cells in phones, because the LCO dataset (Diao et al., 2019) cannot yet be mapped to its test conditions. Second, the charge-rate law fitted at 3.2–5.3C is applied at 1–3C. Third, ambient temperature, the 80% limit and multistage charging get no life effect, because no verified source quantifies one. Fourth, capacity fades along the median Severson curve, so batteries differ only in when they reach end of life.</w:t>
      </w:r>
    </w:p>
    <w:p>
      <w:pPr>
        <w:pStyle w:val="Heading1"/>
        <w:spacing w:before="240" w:after="120"/>
      </w:pPr>
      <w:r>
        <w:t xml:space="preserve">Model / approach</w:t>
      </w:r>
    </w:p>
    <w:p>
      <w:pPr>
        <w:spacing w:after="120"/>
      </w:pPr>
      <w:r>
        <w:t xml:space="preserve">We built a full-factorial Monte Carlo simulation in Python (numpy, pandas and scipy only) with four factors: charge rate (1C, 2C, 3C), ambient temperature (10, 25, 40 °C), charge limit (80%, 100%) and charging method (standard constant-current/constant-voltage, CC-CV, versus multistage constant current). That gives 36 scenarios with 1,000 simulated batteries each, 36,000 in total. All runs use one random seed (20261028), and battery </w:t>
      </w:r>
      <w:r>
        <w:rPr>
          <w:i/>
          <w:iCs/>
        </w:rPr>
        <w:t xml:space="preserve">i</w:t>
      </w:r>
      <w:r>
        <w:t xml:space="preserve"> uses the same random draws in every scenario (common random numbers), so differences between scenarios are not sampling noise.</w:t>
      </w:r>
    </w:p>
    <w:p>
      <w:pPr>
        <w:spacing w:after="120"/>
      </w:pPr>
      <w:r>
        <w:rPr>
          <w:b/>
          <w:bCs/>
        </w:rPr>
        <w:t xml:space="preserve">Life submodel.</w:t>
      </w:r>
      <w:r>
        <w:t xml:space="preserve"> Cycles to 80% health follow a Weibull distribution whose scale depends on charge rate: η(r) = 820.2 × exp(−0.531 × (r − 4.74)), with shape β = 2.595. We estimated β, η and the rate slope together by maximum likelihood on 124 cells from Severson et al. (2019), all of which reached end of life (no censoring). The slope's 95% CI is [−0.723, −0.339]. We re-ran the whole simulation with the slope at both CI bounds to carry parameter uncertainty into the results.</w:t>
      </w:r>
    </w:p>
    <w:p>
      <w:pPr>
        <w:spacing w:after="120"/>
      </w:pPr>
      <w:r>
        <w:rPr>
          <w:b/>
          <w:bCs/>
        </w:rPr>
        <w:t xml:space="preserve">Health submodel.</w:t>
      </w:r>
      <w:r>
        <w:t xml:space="preserve"> Health at </w:t>
      </w:r>
      <w:r>
        <w:rPr>
          <w:i/>
          <w:iCs/>
        </w:rPr>
        <w:t xml:space="preserve">n</w:t>
      </w:r>
      <w:r>
        <w:t xml:space="preserve"> cycles is read off the median normalised fade curve from the same 124 cells: health starts at 0.972 of nominal, is 0.958 at half of life, and 0.800 at end of life.</w:t>
      </w:r>
    </w:p>
    <w:p>
      <w:pPr>
        <w:spacing w:after="120"/>
      </w:pPr>
      <w:r>
        <w:rPr>
          <w:b/>
          <w:bCs/>
        </w:rPr>
        <w:t xml:space="preserve">Charge-time submodel.</w:t>
      </w:r>
      <w:r>
        <w:t xml:space="preserve"> Time to 80% is t₈₀ = k × 0.8 × 60 / r minutes, where k ~ Normal(1.061, 0.088) was fitted to 21 Severson cells charged at a single rate to 80%. Multistage charging multiplies t₈₀ by 0.898 at 25 °C or 0.926 at 35 °C, the measured ratios in Tahir et al. (2024, Table 11).</w:t>
      </w:r>
    </w:p>
    <w:p>
      <w:pPr>
        <w:spacing w:after="120"/>
      </w:pPr>
      <w:r>
        <w:rPr>
          <w:b/>
          <w:bCs/>
        </w:rPr>
        <w:t xml:space="preserve">Temperature submodel.</w:t>
      </w:r>
      <w:r>
        <w:t xml:space="preserve"> Peak temperature is ambient plus a charge-phase rise fitted to raw Severson temperature traces. That fit is weak (R² = 0.07) and predicts impossible negative rises below about 2C, so temperature is reported only at 3C.</w:t>
      </w:r>
    </w:p>
    <w:p>
      <w:pPr>
        <w:spacing w:after="120"/>
      </w:pPr>
      <w:r>
        <w:rPr>
          <w:b/>
          <w:bCs/>
        </w:rPr>
        <w:t xml:space="preserve">Analysis.</w:t>
      </w:r>
      <w:r>
        <w:t xml:space="preserve"> We used descriptive statistics, type III factorial ANOVA with partial η², and an ordinary-least-squares regression of log life on all factors with two-way interactions. Strategies were compared with paired bootstrap 95% confidence intervals (2,000 resamples). We fitted Weibull reliability per strategy, and applied an individuals control chart with capability indices to health at 500 cycles. This chain answers the research question directly: the ANOVA and regression isolate how much charge rate moves battery life, the bootstrap puts uncertainty on the difference between practical charging strategies, and the reliability and SPC steps translate it into the language of a warranty or a service plan.</w:t>
      </w:r>
    </w:p>
    <w:p>
      <w:pPr>
        <w:pStyle w:val="Heading1"/>
        <w:spacing w:before="240" w:after="120"/>
      </w:pPr>
      <w:r>
        <w:t xml:space="preserve">Results</w:t>
      </w:r>
    </w:p>
    <w:p>
      <w:pPr>
        <w:spacing w:after="120"/>
      </w:pPr>
      <w:r>
        <w:rPr>
          <w:b/>
          <w:bCs/>
        </w:rPr>
        <w:t xml:space="preserve">Charge rate is the dominant driver of both lifespan and charging speed.</w:t>
      </w:r>
      <w:r>
        <w:t xml:space="preserve"> Median cycles to 80% health fall from 5,237 at 1C to 3,080 at 2C and 1,811 at 3C. In the regression of log life, the 3C coefficient is −1.062 (95% CI [−1.088, −1.035], p &lt; 0.001) relative to 1C, which means about 65% shorter life; the 2C coefficient is −0.531 ([−0.558, −0.504], p &lt; 0.001). The model explains R² = 0.459 of the variance in log life; the rest is battery-to-battery spread. Charge rate has a partial η² of 0.459 for log life, 0.102 for health at 500 cycles and 0.212 for health at 1,000 cycles (all p &lt; 0.001). By 1,000 cycles, 0.9% of batteries charged at 1C are past end of life, against 3.1% at 2C and 13.2% at 3C. Mean health at 500 cycles is 0.976, 0.973 and 0.967 respectively.</w:t>
      </w:r>
    </w:p>
    <w:p>
      <w:pPr>
        <w:spacing w:after="120"/>
      </w:pPr>
      <w:r>
        <w:rPr>
          <w:b/>
          <w:bCs/>
        </w:rPr>
        <w:t xml:space="preserve">Fast charging buys time.</w:t>
      </w:r>
      <w:r>
        <w:t xml:space="preserve"> Mean minutes to 80% are 51.1 (1C), 25.6 (2C) and 17.0 (3C) with CC-CV. Rate explains almost all of the variance in charge time (partial η² = 0.963), and charging method explains a further 0.222 (both p &lt; 0.001). Multistage charging saves 1.75 minutes per charge at 3C (paired bootstrap 95% CI [1.74, 1.76]). The ambient-temperature term is small (partial η² = 0.006) and exists only because the 40 °C scenarios borrow Tahir's 35 °C ratio.</w:t>
      </w:r>
    </w:p>
    <w:p>
      <w:pPr>
        <w:spacing w:after="120"/>
      </w:pPr>
      <w:r>
        <w:rPr>
          <w:b/>
          <w:bCs/>
        </w:rPr>
        <w:t xml:space="preserve">Charge limit, ambient temperature and method show zero effect on life — by construction, not as a finding.</w:t>
      </w:r>
      <w:r>
        <w:t xml:space="preserve"> Their F statistics for life are exactly 0 because no verified source quantified their life effects. Reliability at 3C is therefore identical for the three practical strategies: β = 2.63 [2.51, 2.76], η = 2,088 [2,037, 2,140] cycles, MTTF = 1,855 cycles, R(500) = 0.977 and R(1,000) = 0.866.</w:t>
      </w:r>
    </w:p>
    <w:p>
      <w:pPr>
        <w:spacing w:after="120"/>
      </w:pPr>
      <w:r>
        <w:rPr>
          <w:b/>
          <w:bCs/>
        </w:rPr>
        <w:t xml:space="preserve">Results are sensitive to the rate slope.</w:t>
      </w:r>
      <w:r>
        <w:t xml:space="preserve"> With the slope at its 95% CI bounds, median life at 1C ranges from 2,552 to 10,750 cycles and at 3C from 1,296 to 2,531. </w:t>
      </w:r>
      <w:r>
        <w:rPr>
          <w:b/>
          <w:bCs/>
        </w:rPr>
        <w:t xml:space="preserve">The baseline fails validation:</w:t>
      </w:r>
      <w:r>
        <w:t xml:space="preserve"> at 1C and 25 °C the model predicts a median of 5,187 cycles, five to ten times Apple's ratings of 500 (iPhone 14 and earlier) and 1,000 cycles (iPhone 15 models) (Apple, n.d.-a). We did not tune the model to force a match. The most likely reason is chemistry: LFP cells last much longer than phone LCO cells. Absolute lifetimes are therefore not credible; the direction and relative size of the rate effect are the defensible results.</w:t>
      </w:r>
    </w:p>
    <w:p>
      <w:pPr>
        <w:spacing w:after="120"/>
      </w:pPr>
      <w:r>
        <w:rPr>
          <w:b/>
          <w:bCs/>
        </w:rPr>
        <w:t xml:space="preserve">Control chart and capability.</w:t>
      </w:r>
      <w:r>
        <w:t xml:space="preserve"> The individuals chart on health at 500 cycles for the multistage strategy has CL = 0.967, UCL = 0.996 and LCL = 0.938. It flags 33 points and a 16-point run, but the batteries are independent by design. The signals come from health being bounded and skewed (Shapiro–Wilk p &lt; 0.001), not from instability. Against a lower specification of 0.80 at 500 cycles, Cpk = 5.84 and Ppk = 3.49, yet 1.8% of batteries are already past end of life at 500 cycles and cannot be charted. Capability indices overstate quality here, and the observed nonconforming fraction (1.8%) is the honest metric.</w:t>
      </w:r>
    </w:p>
    <w:p>
      <w:pPr>
        <w:pStyle w:val="Heading2"/>
        <w:spacing w:before="200" w:after="100"/>
      </w:pPr>
      <w:r>
        <w:t xml:space="preserve">Tables and figures</w:t>
      </w:r>
    </w:p>
    <w:p>
      <w:pPr>
        <w:spacing w:after="120"/>
      </w:pPr>
      <w:r>
        <w:rPr>
          <w:b/>
          <w:bCs/>
        </w:rPr>
        <w:t xml:space="preserve">Table 1.</w:t>
      </w:r>
      <w:r>
        <w:t xml:space="preserve"> Factorial ANOVA (type III, effect coding, all interactions; n = 36,000 batteries, or fewer for health where batteries are past end of life). Terms not shown have partial η² &lt; 0.002; the full table is in outputs/tables/p4_2_anova.csv.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5"/>
        <w:gridCol w:w="1741"/>
        <w:gridCol w:w="653"/>
        <w:gridCol w:w="1415"/>
        <w:gridCol w:w="1088"/>
        <w:gridCol w:w="1198"/>
      </w:tblGrid>
      <w:tr>
        <w:trPr>
          <w:tblHeader/>
        </w:trPr>
        <w:tc>
          <w:tcPr>
            <w:tcW w:type="dxa" w:w="3265"/>
            <w:shd w:fill="E8EEF7" w:color="auto" w:val="clear"/>
            <w:tcMar>
              <w:top w:type="dxa" w:w="40"/>
              <w:left w:type="dxa" w:w="80"/>
              <w:bottom w:type="dxa" w:w="40"/>
              <w:right w:type="dxa" w:w="80"/>
            </w:tcMar>
          </w:tcPr>
          <w:p>
            <w:r>
              <w:rPr>
                <w:b/>
                <w:bCs/>
                <w:sz w:val="18"/>
                <w:szCs w:val="18"/>
              </w:rPr>
              <w:t xml:space="preserve">Response</w:t>
            </w:r>
          </w:p>
        </w:tc>
        <w:tc>
          <w:tcPr>
            <w:tcW w:type="dxa" w:w="1741"/>
            <w:shd w:fill="E8EEF7" w:color="auto" w:val="clear"/>
            <w:tcMar>
              <w:top w:type="dxa" w:w="40"/>
              <w:left w:type="dxa" w:w="80"/>
              <w:bottom w:type="dxa" w:w="40"/>
              <w:right w:type="dxa" w:w="80"/>
            </w:tcMar>
          </w:tcPr>
          <w:p>
            <w:r>
              <w:rPr>
                <w:b/>
                <w:bCs/>
                <w:sz w:val="18"/>
                <w:szCs w:val="18"/>
              </w:rPr>
              <w:t xml:space="preserve">Term</w:t>
            </w:r>
          </w:p>
        </w:tc>
        <w:tc>
          <w:tcPr>
            <w:tcW w:type="dxa" w:w="653"/>
            <w:shd w:fill="E8EEF7" w:color="auto" w:val="clear"/>
            <w:tcMar>
              <w:top w:type="dxa" w:w="40"/>
              <w:left w:type="dxa" w:w="80"/>
              <w:bottom w:type="dxa" w:w="40"/>
              <w:right w:type="dxa" w:w="80"/>
            </w:tcMar>
          </w:tcPr>
          <w:p>
            <w:r>
              <w:rPr>
                <w:b/>
                <w:bCs/>
                <w:sz w:val="18"/>
                <w:szCs w:val="18"/>
              </w:rPr>
              <w:t xml:space="preserve">df</w:t>
            </w:r>
          </w:p>
        </w:tc>
        <w:tc>
          <w:tcPr>
            <w:tcW w:type="dxa" w:w="1415"/>
            <w:shd w:fill="E8EEF7" w:color="auto" w:val="clear"/>
            <w:tcMar>
              <w:top w:type="dxa" w:w="40"/>
              <w:left w:type="dxa" w:w="80"/>
              <w:bottom w:type="dxa" w:w="40"/>
              <w:right w:type="dxa" w:w="80"/>
            </w:tcMar>
          </w:tcPr>
          <w:p>
            <w:r>
              <w:rPr>
                <w:b/>
                <w:bCs/>
                <w:sz w:val="18"/>
                <w:szCs w:val="18"/>
              </w:rPr>
              <w:t xml:space="preserve">F</w:t>
            </w:r>
          </w:p>
        </w:tc>
        <w:tc>
          <w:tcPr>
            <w:tcW w:type="dxa" w:w="1088"/>
            <w:shd w:fill="E8EEF7" w:color="auto" w:val="clear"/>
            <w:tcMar>
              <w:top w:type="dxa" w:w="40"/>
              <w:left w:type="dxa" w:w="80"/>
              <w:bottom w:type="dxa" w:w="40"/>
              <w:right w:type="dxa" w:w="80"/>
            </w:tcMar>
          </w:tcPr>
          <w:p>
            <w:r>
              <w:rPr>
                <w:b/>
                <w:bCs/>
                <w:sz w:val="18"/>
                <w:szCs w:val="18"/>
              </w:rPr>
              <w:t xml:space="preserve">p</w:t>
            </w:r>
          </w:p>
        </w:tc>
        <w:tc>
          <w:tcPr>
            <w:tcW w:type="dxa" w:w="1198"/>
            <w:shd w:fill="E8EEF7" w:color="auto" w:val="clear"/>
            <w:tcMar>
              <w:top w:type="dxa" w:w="40"/>
              <w:left w:type="dxa" w:w="80"/>
              <w:bottom w:type="dxa" w:w="40"/>
              <w:right w:type="dxa" w:w="80"/>
            </w:tcMar>
          </w:tcPr>
          <w:p>
            <w:r>
              <w:rPr>
                <w:b/>
                <w:bCs/>
                <w:sz w:val="18"/>
                <w:szCs w:val="18"/>
              </w:rPr>
              <w:t xml:space="preserve">Partial η²</w:t>
            </w:r>
          </w:p>
        </w:tc>
      </w:tr>
      <w:tr>
        <w:tc>
          <w:tcPr>
            <w:tcW w:type="dxa" w:w="3265"/>
            <w:tcMar>
              <w:top w:type="dxa" w:w="40"/>
              <w:left w:type="dxa" w:w="80"/>
              <w:bottom w:type="dxa" w:w="40"/>
              <w:right w:type="dxa" w:w="80"/>
            </w:tcMar>
          </w:tcPr>
          <w:p>
            <w:r>
              <w:rPr>
                <w:b w:val="false"/>
                <w:bCs w:val="false"/>
                <w:sz w:val="18"/>
                <w:szCs w:val="18"/>
              </w:rPr>
              <w:t xml:space="preserve">Minutes to 80% charge</w:t>
            </w:r>
          </w:p>
        </w:tc>
        <w:tc>
          <w:tcPr>
            <w:tcW w:type="dxa" w:w="1741"/>
            <w:tcMar>
              <w:top w:type="dxa" w:w="40"/>
              <w:left w:type="dxa" w:w="80"/>
              <w:bottom w:type="dxa" w:w="40"/>
              <w:right w:type="dxa" w:w="80"/>
            </w:tcMar>
          </w:tcPr>
          <w:p>
            <w:r>
              <w:rPr>
                <w:b w:val="false"/>
                <w:bCs w:val="false"/>
                <w:sz w:val="18"/>
                <w:szCs w:val="18"/>
              </w:rPr>
              <w:t xml:space="preserve">rate</w:t>
            </w:r>
          </w:p>
        </w:tc>
        <w:tc>
          <w:tcPr>
            <w:tcW w:type="dxa" w:w="653"/>
            <w:tcMar>
              <w:top w:type="dxa" w:w="40"/>
              <w:left w:type="dxa" w:w="80"/>
              <w:bottom w:type="dxa" w:w="40"/>
              <w:right w:type="dxa" w:w="80"/>
            </w:tcMar>
          </w:tcPr>
          <w:p>
            <w:r>
              <w:rPr>
                <w:b w:val="false"/>
                <w:bCs w:val="false"/>
                <w:sz w:val="18"/>
                <w:szCs w:val="18"/>
              </w:rPr>
              <w:t xml:space="preserve">2</w:t>
            </w:r>
          </w:p>
        </w:tc>
        <w:tc>
          <w:tcPr>
            <w:tcW w:type="dxa" w:w="1415"/>
            <w:tcMar>
              <w:top w:type="dxa" w:w="40"/>
              <w:left w:type="dxa" w:w="80"/>
              <w:bottom w:type="dxa" w:w="40"/>
              <w:right w:type="dxa" w:w="80"/>
            </w:tcMar>
          </w:tcPr>
          <w:p>
            <w:r>
              <w:rPr>
                <w:b w:val="false"/>
                <w:bCs w:val="false"/>
                <w:sz w:val="18"/>
                <w:szCs w:val="18"/>
              </w:rPr>
              <w:t xml:space="preserve">462577.8</w:t>
            </w:r>
          </w:p>
        </w:tc>
        <w:tc>
          <w:tcPr>
            <w:tcW w:type="dxa" w:w="1088"/>
            <w:tcMar>
              <w:top w:type="dxa" w:w="40"/>
              <w:left w:type="dxa" w:w="80"/>
              <w:bottom w:type="dxa" w:w="40"/>
              <w:right w:type="dxa" w:w="80"/>
            </w:tcMar>
          </w:tcPr>
          <w:p>
            <w:r>
              <w:rPr>
                <w:b w:val="false"/>
                <w:bCs w:val="false"/>
                <w:sz w:val="18"/>
                <w:szCs w:val="18"/>
              </w:rPr>
              <w:t xml:space="preserve">&lt; 0.001</w:t>
            </w:r>
          </w:p>
        </w:tc>
        <w:tc>
          <w:tcPr>
            <w:tcW w:type="dxa" w:w="1198"/>
            <w:tcMar>
              <w:top w:type="dxa" w:w="40"/>
              <w:left w:type="dxa" w:w="80"/>
              <w:bottom w:type="dxa" w:w="40"/>
              <w:right w:type="dxa" w:w="80"/>
            </w:tcMar>
          </w:tcPr>
          <w:p>
            <w:r>
              <w:rPr>
                <w:b w:val="false"/>
                <w:bCs w:val="false"/>
                <w:sz w:val="18"/>
                <w:szCs w:val="18"/>
              </w:rPr>
              <w:t xml:space="preserve">0.963</w:t>
            </w:r>
          </w:p>
        </w:tc>
      </w:tr>
      <w:tr>
        <w:tc>
          <w:tcPr>
            <w:tcW w:type="dxa" w:w="3265"/>
            <w:tcMar>
              <w:top w:type="dxa" w:w="40"/>
              <w:left w:type="dxa" w:w="80"/>
              <w:bottom w:type="dxa" w:w="40"/>
              <w:right w:type="dxa" w:w="80"/>
            </w:tcMar>
          </w:tcPr>
          <w:p>
            <w:r>
              <w:rPr>
                <w:b w:val="false"/>
                <w:bCs w:val="false"/>
                <w:sz w:val="18"/>
                <w:szCs w:val="18"/>
              </w:rPr>
              <w:t xml:space="preserve">Minutes to 80% charge</w:t>
            </w:r>
          </w:p>
        </w:tc>
        <w:tc>
          <w:tcPr>
            <w:tcW w:type="dxa" w:w="1741"/>
            <w:tcMar>
              <w:top w:type="dxa" w:w="40"/>
              <w:left w:type="dxa" w:w="80"/>
              <w:bottom w:type="dxa" w:w="40"/>
              <w:right w:type="dxa" w:w="80"/>
            </w:tcMar>
          </w:tcPr>
          <w:p>
            <w:r>
              <w:rPr>
                <w:b w:val="false"/>
                <w:bCs w:val="false"/>
                <w:sz w:val="18"/>
                <w:szCs w:val="18"/>
              </w:rPr>
              <w:t xml:space="preserve">method</w:t>
            </w:r>
          </w:p>
        </w:tc>
        <w:tc>
          <w:tcPr>
            <w:tcW w:type="dxa" w:w="653"/>
            <w:tcMar>
              <w:top w:type="dxa" w:w="40"/>
              <w:left w:type="dxa" w:w="80"/>
              <w:bottom w:type="dxa" w:w="40"/>
              <w:right w:type="dxa" w:w="80"/>
            </w:tcMar>
          </w:tcPr>
          <w:p>
            <w:r>
              <w:rPr>
                <w:b w:val="false"/>
                <w:bCs w:val="false"/>
                <w:sz w:val="18"/>
                <w:szCs w:val="18"/>
              </w:rPr>
              <w:t xml:space="preserve">1</w:t>
            </w:r>
          </w:p>
        </w:tc>
        <w:tc>
          <w:tcPr>
            <w:tcW w:type="dxa" w:w="1415"/>
            <w:tcMar>
              <w:top w:type="dxa" w:w="40"/>
              <w:left w:type="dxa" w:w="80"/>
              <w:bottom w:type="dxa" w:w="40"/>
              <w:right w:type="dxa" w:w="80"/>
            </w:tcMar>
          </w:tcPr>
          <w:p>
            <w:r>
              <w:rPr>
                <w:b w:val="false"/>
                <w:bCs w:val="false"/>
                <w:sz w:val="18"/>
                <w:szCs w:val="18"/>
              </w:rPr>
              <w:t xml:space="preserve">10239.8</w:t>
            </w:r>
          </w:p>
        </w:tc>
        <w:tc>
          <w:tcPr>
            <w:tcW w:type="dxa" w:w="1088"/>
            <w:tcMar>
              <w:top w:type="dxa" w:w="40"/>
              <w:left w:type="dxa" w:w="80"/>
              <w:bottom w:type="dxa" w:w="40"/>
              <w:right w:type="dxa" w:w="80"/>
            </w:tcMar>
          </w:tcPr>
          <w:p>
            <w:r>
              <w:rPr>
                <w:b w:val="false"/>
                <w:bCs w:val="false"/>
                <w:sz w:val="18"/>
                <w:szCs w:val="18"/>
              </w:rPr>
              <w:t xml:space="preserve">&lt; 0.001</w:t>
            </w:r>
          </w:p>
        </w:tc>
        <w:tc>
          <w:tcPr>
            <w:tcW w:type="dxa" w:w="1198"/>
            <w:tcMar>
              <w:top w:type="dxa" w:w="40"/>
              <w:left w:type="dxa" w:w="80"/>
              <w:bottom w:type="dxa" w:w="40"/>
              <w:right w:type="dxa" w:w="80"/>
            </w:tcMar>
          </w:tcPr>
          <w:p>
            <w:r>
              <w:rPr>
                <w:b w:val="false"/>
                <w:bCs w:val="false"/>
                <w:sz w:val="18"/>
                <w:szCs w:val="18"/>
              </w:rPr>
              <w:t xml:space="preserve">0.222</w:t>
            </w:r>
          </w:p>
        </w:tc>
      </w:tr>
      <w:tr>
        <w:tc>
          <w:tcPr>
            <w:tcW w:type="dxa" w:w="3265"/>
            <w:tcMar>
              <w:top w:type="dxa" w:w="40"/>
              <w:left w:type="dxa" w:w="80"/>
              <w:bottom w:type="dxa" w:w="40"/>
              <w:right w:type="dxa" w:w="80"/>
            </w:tcMar>
          </w:tcPr>
          <w:p>
            <w:r>
              <w:rPr>
                <w:b w:val="false"/>
                <w:bCs w:val="false"/>
                <w:sz w:val="18"/>
                <w:szCs w:val="18"/>
              </w:rPr>
              <w:t xml:space="preserve">Minutes to 80% charge</w:t>
            </w:r>
          </w:p>
        </w:tc>
        <w:tc>
          <w:tcPr>
            <w:tcW w:type="dxa" w:w="1741"/>
            <w:tcMar>
              <w:top w:type="dxa" w:w="40"/>
              <w:left w:type="dxa" w:w="80"/>
              <w:bottom w:type="dxa" w:w="40"/>
              <w:right w:type="dxa" w:w="80"/>
            </w:tcMar>
          </w:tcPr>
          <w:p>
            <w:r>
              <w:rPr>
                <w:b w:val="false"/>
                <w:bCs w:val="false"/>
                <w:sz w:val="18"/>
                <w:szCs w:val="18"/>
              </w:rPr>
              <w:t xml:space="preserve">ambient</w:t>
            </w:r>
          </w:p>
        </w:tc>
        <w:tc>
          <w:tcPr>
            <w:tcW w:type="dxa" w:w="653"/>
            <w:tcMar>
              <w:top w:type="dxa" w:w="40"/>
              <w:left w:type="dxa" w:w="80"/>
              <w:bottom w:type="dxa" w:w="40"/>
              <w:right w:type="dxa" w:w="80"/>
            </w:tcMar>
          </w:tcPr>
          <w:p>
            <w:r>
              <w:rPr>
                <w:b w:val="false"/>
                <w:bCs w:val="false"/>
                <w:sz w:val="18"/>
                <w:szCs w:val="18"/>
              </w:rPr>
              <w:t xml:space="preserve">2</w:t>
            </w:r>
          </w:p>
        </w:tc>
        <w:tc>
          <w:tcPr>
            <w:tcW w:type="dxa" w:w="1415"/>
            <w:tcMar>
              <w:top w:type="dxa" w:w="40"/>
              <w:left w:type="dxa" w:w="80"/>
              <w:bottom w:type="dxa" w:w="40"/>
              <w:right w:type="dxa" w:w="80"/>
            </w:tcMar>
          </w:tcPr>
          <w:p>
            <w:r>
              <w:rPr>
                <w:b w:val="false"/>
                <w:bCs w:val="false"/>
                <w:sz w:val="18"/>
                <w:szCs w:val="18"/>
              </w:rPr>
              <w:t xml:space="preserve">104.6</w:t>
            </w:r>
          </w:p>
        </w:tc>
        <w:tc>
          <w:tcPr>
            <w:tcW w:type="dxa" w:w="1088"/>
            <w:tcMar>
              <w:top w:type="dxa" w:w="40"/>
              <w:left w:type="dxa" w:w="80"/>
              <w:bottom w:type="dxa" w:w="40"/>
              <w:right w:type="dxa" w:w="80"/>
            </w:tcMar>
          </w:tcPr>
          <w:p>
            <w:r>
              <w:rPr>
                <w:b w:val="false"/>
                <w:bCs w:val="false"/>
                <w:sz w:val="18"/>
                <w:szCs w:val="18"/>
              </w:rPr>
              <w:t xml:space="preserve">&lt; 0.001</w:t>
            </w:r>
          </w:p>
        </w:tc>
        <w:tc>
          <w:tcPr>
            <w:tcW w:type="dxa" w:w="1198"/>
            <w:tcMar>
              <w:top w:type="dxa" w:w="40"/>
              <w:left w:type="dxa" w:w="80"/>
              <w:bottom w:type="dxa" w:w="40"/>
              <w:right w:type="dxa" w:w="80"/>
            </w:tcMar>
          </w:tcPr>
          <w:p>
            <w:r>
              <w:rPr>
                <w:b w:val="false"/>
                <w:bCs w:val="false"/>
                <w:sz w:val="18"/>
                <w:szCs w:val="18"/>
              </w:rPr>
              <w:t xml:space="preserve">0.006</w:t>
            </w:r>
          </w:p>
        </w:tc>
      </w:tr>
      <w:tr>
        <w:tc>
          <w:tcPr>
            <w:tcW w:type="dxa" w:w="3265"/>
            <w:tcMar>
              <w:top w:type="dxa" w:w="40"/>
              <w:left w:type="dxa" w:w="80"/>
              <w:bottom w:type="dxa" w:w="40"/>
              <w:right w:type="dxa" w:w="80"/>
            </w:tcMar>
          </w:tcPr>
          <w:p>
            <w:r>
              <w:rPr>
                <w:b w:val="false"/>
                <w:bCs w:val="false"/>
                <w:sz w:val="18"/>
                <w:szCs w:val="18"/>
              </w:rPr>
              <w:t xml:space="preserve">Minutes to 80% charge</w:t>
            </w:r>
          </w:p>
        </w:tc>
        <w:tc>
          <w:tcPr>
            <w:tcW w:type="dxa" w:w="1741"/>
            <w:tcMar>
              <w:top w:type="dxa" w:w="40"/>
              <w:left w:type="dxa" w:w="80"/>
              <w:bottom w:type="dxa" w:w="40"/>
              <w:right w:type="dxa" w:w="80"/>
            </w:tcMar>
          </w:tcPr>
          <w:p>
            <w:r>
              <w:rPr>
                <w:b w:val="false"/>
                <w:bCs w:val="false"/>
                <w:sz w:val="18"/>
                <w:szCs w:val="18"/>
              </w:rPr>
              <w:t xml:space="preserve">limit</w:t>
            </w:r>
          </w:p>
        </w:tc>
        <w:tc>
          <w:tcPr>
            <w:tcW w:type="dxa" w:w="653"/>
            <w:tcMar>
              <w:top w:type="dxa" w:w="40"/>
              <w:left w:type="dxa" w:w="80"/>
              <w:bottom w:type="dxa" w:w="40"/>
              <w:right w:type="dxa" w:w="80"/>
            </w:tcMar>
          </w:tcPr>
          <w:p>
            <w:r>
              <w:rPr>
                <w:b w:val="false"/>
                <w:bCs w:val="false"/>
                <w:sz w:val="18"/>
                <w:szCs w:val="18"/>
              </w:rPr>
              <w:t xml:space="preserve">1</w:t>
            </w:r>
          </w:p>
        </w:tc>
        <w:tc>
          <w:tcPr>
            <w:tcW w:type="dxa" w:w="1415"/>
            <w:tcMar>
              <w:top w:type="dxa" w:w="40"/>
              <w:left w:type="dxa" w:w="80"/>
              <w:bottom w:type="dxa" w:w="40"/>
              <w:right w:type="dxa" w:w="80"/>
            </w:tcMar>
          </w:tcPr>
          <w:p>
            <w:r>
              <w:rPr>
                <w:b w:val="false"/>
                <w:bCs w:val="false"/>
                <w:sz w:val="18"/>
                <w:szCs w:val="18"/>
              </w:rPr>
              <w:t xml:space="preserve">0.0</w:t>
            </w:r>
          </w:p>
        </w:tc>
        <w:tc>
          <w:tcPr>
            <w:tcW w:type="dxa" w:w="1088"/>
            <w:tcMar>
              <w:top w:type="dxa" w:w="40"/>
              <w:left w:type="dxa" w:w="80"/>
              <w:bottom w:type="dxa" w:w="40"/>
              <w:right w:type="dxa" w:w="80"/>
            </w:tcMar>
          </w:tcPr>
          <w:p>
            <w:r>
              <w:rPr>
                <w:b w:val="false"/>
                <w:bCs w:val="false"/>
                <w:sz w:val="18"/>
                <w:szCs w:val="18"/>
              </w:rPr>
              <w:t xml:space="preserve">1.000</w:t>
            </w:r>
          </w:p>
        </w:tc>
        <w:tc>
          <w:tcPr>
            <w:tcW w:type="dxa" w:w="1198"/>
            <w:tcMar>
              <w:top w:type="dxa" w:w="40"/>
              <w:left w:type="dxa" w:w="80"/>
              <w:bottom w:type="dxa" w:w="40"/>
              <w:right w:type="dxa" w:w="80"/>
            </w:tcMar>
          </w:tcPr>
          <w:p>
            <w:r>
              <w:rPr>
                <w:b w:val="false"/>
                <w:bCs w:val="false"/>
                <w:sz w:val="18"/>
                <w:szCs w:val="18"/>
              </w:rPr>
              <w:t xml:space="preserve">0.000</w:t>
            </w:r>
          </w:p>
        </w:tc>
      </w:tr>
      <w:tr>
        <w:tc>
          <w:tcPr>
            <w:tcW w:type="dxa" w:w="3265"/>
            <w:tcMar>
              <w:top w:type="dxa" w:w="40"/>
              <w:left w:type="dxa" w:w="80"/>
              <w:bottom w:type="dxa" w:w="40"/>
              <w:right w:type="dxa" w:w="80"/>
            </w:tcMar>
          </w:tcPr>
          <w:p>
            <w:r>
              <w:rPr>
                <w:b w:val="false"/>
                <w:bCs w:val="false"/>
                <w:sz w:val="18"/>
                <w:szCs w:val="18"/>
              </w:rPr>
              <w:t xml:space="preserve">Minutes to 80% charge</w:t>
            </w:r>
          </w:p>
        </w:tc>
        <w:tc>
          <w:tcPr>
            <w:tcW w:type="dxa" w:w="1741"/>
            <w:tcMar>
              <w:top w:type="dxa" w:w="40"/>
              <w:left w:type="dxa" w:w="80"/>
              <w:bottom w:type="dxa" w:w="40"/>
              <w:right w:type="dxa" w:w="80"/>
            </w:tcMar>
          </w:tcPr>
          <w:p>
            <w:r>
              <w:rPr>
                <w:b w:val="false"/>
                <w:bCs w:val="false"/>
                <w:sz w:val="18"/>
                <w:szCs w:val="18"/>
              </w:rPr>
              <w:t xml:space="preserve">rate:method</w:t>
            </w:r>
          </w:p>
        </w:tc>
        <w:tc>
          <w:tcPr>
            <w:tcW w:type="dxa" w:w="653"/>
            <w:tcMar>
              <w:top w:type="dxa" w:w="40"/>
              <w:left w:type="dxa" w:w="80"/>
              <w:bottom w:type="dxa" w:w="40"/>
              <w:right w:type="dxa" w:w="80"/>
            </w:tcMar>
          </w:tcPr>
          <w:p>
            <w:r>
              <w:rPr>
                <w:b w:val="false"/>
                <w:bCs w:val="false"/>
                <w:sz w:val="18"/>
                <w:szCs w:val="18"/>
              </w:rPr>
              <w:t xml:space="preserve">2</w:t>
            </w:r>
          </w:p>
        </w:tc>
        <w:tc>
          <w:tcPr>
            <w:tcW w:type="dxa" w:w="1415"/>
            <w:tcMar>
              <w:top w:type="dxa" w:w="40"/>
              <w:left w:type="dxa" w:w="80"/>
              <w:bottom w:type="dxa" w:w="40"/>
              <w:right w:type="dxa" w:w="80"/>
            </w:tcMar>
          </w:tcPr>
          <w:p>
            <w:r>
              <w:rPr>
                <w:b w:val="false"/>
                <w:bCs w:val="false"/>
                <w:sz w:val="18"/>
                <w:szCs w:val="18"/>
              </w:rPr>
              <w:t xml:space="preserve">1100.1</w:t>
            </w:r>
          </w:p>
        </w:tc>
        <w:tc>
          <w:tcPr>
            <w:tcW w:type="dxa" w:w="1088"/>
            <w:tcMar>
              <w:top w:type="dxa" w:w="40"/>
              <w:left w:type="dxa" w:w="80"/>
              <w:bottom w:type="dxa" w:w="40"/>
              <w:right w:type="dxa" w:w="80"/>
            </w:tcMar>
          </w:tcPr>
          <w:p>
            <w:r>
              <w:rPr>
                <w:b w:val="false"/>
                <w:bCs w:val="false"/>
                <w:sz w:val="18"/>
                <w:szCs w:val="18"/>
              </w:rPr>
              <w:t xml:space="preserve">&lt; 0.001</w:t>
            </w:r>
          </w:p>
        </w:tc>
        <w:tc>
          <w:tcPr>
            <w:tcW w:type="dxa" w:w="1198"/>
            <w:tcMar>
              <w:top w:type="dxa" w:w="40"/>
              <w:left w:type="dxa" w:w="80"/>
              <w:bottom w:type="dxa" w:w="40"/>
              <w:right w:type="dxa" w:w="80"/>
            </w:tcMar>
          </w:tcPr>
          <w:p>
            <w:r>
              <w:rPr>
                <w:b w:val="false"/>
                <w:bCs w:val="false"/>
                <w:sz w:val="18"/>
                <w:szCs w:val="18"/>
              </w:rPr>
              <w:t xml:space="preserve">0.058</w:t>
            </w:r>
          </w:p>
        </w:tc>
      </w:tr>
      <w:tr>
        <w:tc>
          <w:tcPr>
            <w:tcW w:type="dxa" w:w="3265"/>
            <w:tcMar>
              <w:top w:type="dxa" w:w="40"/>
              <w:left w:type="dxa" w:w="80"/>
              <w:bottom w:type="dxa" w:w="40"/>
              <w:right w:type="dxa" w:w="80"/>
            </w:tcMar>
          </w:tcPr>
          <w:p>
            <w:r>
              <w:rPr>
                <w:b w:val="false"/>
                <w:bCs w:val="false"/>
                <w:sz w:val="18"/>
                <w:szCs w:val="18"/>
              </w:rPr>
              <w:t xml:space="preserve">log(cycles to 80% health)</w:t>
            </w:r>
          </w:p>
        </w:tc>
        <w:tc>
          <w:tcPr>
            <w:tcW w:type="dxa" w:w="1741"/>
            <w:tcMar>
              <w:top w:type="dxa" w:w="40"/>
              <w:left w:type="dxa" w:w="80"/>
              <w:bottom w:type="dxa" w:w="40"/>
              <w:right w:type="dxa" w:w="80"/>
            </w:tcMar>
          </w:tcPr>
          <w:p>
            <w:r>
              <w:rPr>
                <w:b w:val="false"/>
                <w:bCs w:val="false"/>
                <w:sz w:val="18"/>
                <w:szCs w:val="18"/>
              </w:rPr>
              <w:t xml:space="preserve">rate</w:t>
            </w:r>
          </w:p>
        </w:tc>
        <w:tc>
          <w:tcPr>
            <w:tcW w:type="dxa" w:w="653"/>
            <w:tcMar>
              <w:top w:type="dxa" w:w="40"/>
              <w:left w:type="dxa" w:w="80"/>
              <w:bottom w:type="dxa" w:w="40"/>
              <w:right w:type="dxa" w:w="80"/>
            </w:tcMar>
          </w:tcPr>
          <w:p>
            <w:r>
              <w:rPr>
                <w:b w:val="false"/>
                <w:bCs w:val="false"/>
                <w:sz w:val="18"/>
                <w:szCs w:val="18"/>
              </w:rPr>
              <w:t xml:space="preserve">2</w:t>
            </w:r>
          </w:p>
        </w:tc>
        <w:tc>
          <w:tcPr>
            <w:tcW w:type="dxa" w:w="1415"/>
            <w:tcMar>
              <w:top w:type="dxa" w:w="40"/>
              <w:left w:type="dxa" w:w="80"/>
              <w:bottom w:type="dxa" w:w="40"/>
              <w:right w:type="dxa" w:w="80"/>
            </w:tcMar>
          </w:tcPr>
          <w:p>
            <w:r>
              <w:rPr>
                <w:b w:val="false"/>
                <w:bCs w:val="false"/>
                <w:sz w:val="18"/>
                <w:szCs w:val="18"/>
              </w:rPr>
              <w:t xml:space="preserve">15250.1</w:t>
            </w:r>
          </w:p>
        </w:tc>
        <w:tc>
          <w:tcPr>
            <w:tcW w:type="dxa" w:w="1088"/>
            <w:tcMar>
              <w:top w:type="dxa" w:w="40"/>
              <w:left w:type="dxa" w:w="80"/>
              <w:bottom w:type="dxa" w:w="40"/>
              <w:right w:type="dxa" w:w="80"/>
            </w:tcMar>
          </w:tcPr>
          <w:p>
            <w:r>
              <w:rPr>
                <w:b w:val="false"/>
                <w:bCs w:val="false"/>
                <w:sz w:val="18"/>
                <w:szCs w:val="18"/>
              </w:rPr>
              <w:t xml:space="preserve">&lt; 0.001</w:t>
            </w:r>
          </w:p>
        </w:tc>
        <w:tc>
          <w:tcPr>
            <w:tcW w:type="dxa" w:w="1198"/>
            <w:tcMar>
              <w:top w:type="dxa" w:w="40"/>
              <w:left w:type="dxa" w:w="80"/>
              <w:bottom w:type="dxa" w:w="40"/>
              <w:right w:type="dxa" w:w="80"/>
            </w:tcMar>
          </w:tcPr>
          <w:p>
            <w:r>
              <w:rPr>
                <w:b w:val="false"/>
                <w:bCs w:val="false"/>
                <w:sz w:val="18"/>
                <w:szCs w:val="18"/>
              </w:rPr>
              <w:t xml:space="preserve">0.459</w:t>
            </w:r>
          </w:p>
        </w:tc>
      </w:tr>
      <w:tr>
        <w:tc>
          <w:tcPr>
            <w:tcW w:type="dxa" w:w="3265"/>
            <w:tcMar>
              <w:top w:type="dxa" w:w="40"/>
              <w:left w:type="dxa" w:w="80"/>
              <w:bottom w:type="dxa" w:w="40"/>
              <w:right w:type="dxa" w:w="80"/>
            </w:tcMar>
          </w:tcPr>
          <w:p>
            <w:r>
              <w:rPr>
                <w:b w:val="false"/>
                <w:bCs w:val="false"/>
                <w:sz w:val="18"/>
                <w:szCs w:val="18"/>
              </w:rPr>
              <w:t xml:space="preserve">log(cycles to 80% health)</w:t>
            </w:r>
          </w:p>
        </w:tc>
        <w:tc>
          <w:tcPr>
            <w:tcW w:type="dxa" w:w="1741"/>
            <w:tcMar>
              <w:top w:type="dxa" w:w="40"/>
              <w:left w:type="dxa" w:w="80"/>
              <w:bottom w:type="dxa" w:w="40"/>
              <w:right w:type="dxa" w:w="80"/>
            </w:tcMar>
          </w:tcPr>
          <w:p>
            <w:r>
              <w:rPr>
                <w:b w:val="false"/>
                <w:bCs w:val="false"/>
                <w:sz w:val="18"/>
                <w:szCs w:val="18"/>
              </w:rPr>
              <w:t xml:space="preserve">method</w:t>
            </w:r>
          </w:p>
        </w:tc>
        <w:tc>
          <w:tcPr>
            <w:tcW w:type="dxa" w:w="653"/>
            <w:tcMar>
              <w:top w:type="dxa" w:w="40"/>
              <w:left w:type="dxa" w:w="80"/>
              <w:bottom w:type="dxa" w:w="40"/>
              <w:right w:type="dxa" w:w="80"/>
            </w:tcMar>
          </w:tcPr>
          <w:p>
            <w:r>
              <w:rPr>
                <w:b w:val="false"/>
                <w:bCs w:val="false"/>
                <w:sz w:val="18"/>
                <w:szCs w:val="18"/>
              </w:rPr>
              <w:t xml:space="preserve">1</w:t>
            </w:r>
          </w:p>
        </w:tc>
        <w:tc>
          <w:tcPr>
            <w:tcW w:type="dxa" w:w="1415"/>
            <w:tcMar>
              <w:top w:type="dxa" w:w="40"/>
              <w:left w:type="dxa" w:w="80"/>
              <w:bottom w:type="dxa" w:w="40"/>
              <w:right w:type="dxa" w:w="80"/>
            </w:tcMar>
          </w:tcPr>
          <w:p>
            <w:r>
              <w:rPr>
                <w:b w:val="false"/>
                <w:bCs w:val="false"/>
                <w:sz w:val="18"/>
                <w:szCs w:val="18"/>
              </w:rPr>
              <w:t xml:space="preserve">0.0</w:t>
            </w:r>
          </w:p>
        </w:tc>
        <w:tc>
          <w:tcPr>
            <w:tcW w:type="dxa" w:w="1088"/>
            <w:tcMar>
              <w:top w:type="dxa" w:w="40"/>
              <w:left w:type="dxa" w:w="80"/>
              <w:bottom w:type="dxa" w:w="40"/>
              <w:right w:type="dxa" w:w="80"/>
            </w:tcMar>
          </w:tcPr>
          <w:p>
            <w:r>
              <w:rPr>
                <w:b w:val="false"/>
                <w:bCs w:val="false"/>
                <w:sz w:val="18"/>
                <w:szCs w:val="18"/>
              </w:rPr>
              <w:t xml:space="preserve">1.000</w:t>
            </w:r>
          </w:p>
        </w:tc>
        <w:tc>
          <w:tcPr>
            <w:tcW w:type="dxa" w:w="1198"/>
            <w:tcMar>
              <w:top w:type="dxa" w:w="40"/>
              <w:left w:type="dxa" w:w="80"/>
              <w:bottom w:type="dxa" w:w="40"/>
              <w:right w:type="dxa" w:w="80"/>
            </w:tcMar>
          </w:tcPr>
          <w:p>
            <w:r>
              <w:rPr>
                <w:b w:val="false"/>
                <w:bCs w:val="false"/>
                <w:sz w:val="18"/>
                <w:szCs w:val="18"/>
              </w:rPr>
              <w:t xml:space="preserve">0.000</w:t>
            </w:r>
          </w:p>
        </w:tc>
      </w:tr>
      <w:tr>
        <w:tc>
          <w:tcPr>
            <w:tcW w:type="dxa" w:w="3265"/>
            <w:tcMar>
              <w:top w:type="dxa" w:w="40"/>
              <w:left w:type="dxa" w:w="80"/>
              <w:bottom w:type="dxa" w:w="40"/>
              <w:right w:type="dxa" w:w="80"/>
            </w:tcMar>
          </w:tcPr>
          <w:p>
            <w:r>
              <w:rPr>
                <w:b w:val="false"/>
                <w:bCs w:val="false"/>
                <w:sz w:val="18"/>
                <w:szCs w:val="18"/>
              </w:rPr>
              <w:t xml:space="preserve">log(cycles to 80% health)</w:t>
            </w:r>
          </w:p>
        </w:tc>
        <w:tc>
          <w:tcPr>
            <w:tcW w:type="dxa" w:w="1741"/>
            <w:tcMar>
              <w:top w:type="dxa" w:w="40"/>
              <w:left w:type="dxa" w:w="80"/>
              <w:bottom w:type="dxa" w:w="40"/>
              <w:right w:type="dxa" w:w="80"/>
            </w:tcMar>
          </w:tcPr>
          <w:p>
            <w:r>
              <w:rPr>
                <w:b w:val="false"/>
                <w:bCs w:val="false"/>
                <w:sz w:val="18"/>
                <w:szCs w:val="18"/>
              </w:rPr>
              <w:t xml:space="preserve">ambient</w:t>
            </w:r>
          </w:p>
        </w:tc>
        <w:tc>
          <w:tcPr>
            <w:tcW w:type="dxa" w:w="653"/>
            <w:tcMar>
              <w:top w:type="dxa" w:w="40"/>
              <w:left w:type="dxa" w:w="80"/>
              <w:bottom w:type="dxa" w:w="40"/>
              <w:right w:type="dxa" w:w="80"/>
            </w:tcMar>
          </w:tcPr>
          <w:p>
            <w:r>
              <w:rPr>
                <w:b w:val="false"/>
                <w:bCs w:val="false"/>
                <w:sz w:val="18"/>
                <w:szCs w:val="18"/>
              </w:rPr>
              <w:t xml:space="preserve">2</w:t>
            </w:r>
          </w:p>
        </w:tc>
        <w:tc>
          <w:tcPr>
            <w:tcW w:type="dxa" w:w="1415"/>
            <w:tcMar>
              <w:top w:type="dxa" w:w="40"/>
              <w:left w:type="dxa" w:w="80"/>
              <w:bottom w:type="dxa" w:w="40"/>
              <w:right w:type="dxa" w:w="80"/>
            </w:tcMar>
          </w:tcPr>
          <w:p>
            <w:r>
              <w:rPr>
                <w:b w:val="false"/>
                <w:bCs w:val="false"/>
                <w:sz w:val="18"/>
                <w:szCs w:val="18"/>
              </w:rPr>
              <w:t xml:space="preserve">0.0</w:t>
            </w:r>
          </w:p>
        </w:tc>
        <w:tc>
          <w:tcPr>
            <w:tcW w:type="dxa" w:w="1088"/>
            <w:tcMar>
              <w:top w:type="dxa" w:w="40"/>
              <w:left w:type="dxa" w:w="80"/>
              <w:bottom w:type="dxa" w:w="40"/>
              <w:right w:type="dxa" w:w="80"/>
            </w:tcMar>
          </w:tcPr>
          <w:p>
            <w:r>
              <w:rPr>
                <w:b w:val="false"/>
                <w:bCs w:val="false"/>
                <w:sz w:val="18"/>
                <w:szCs w:val="18"/>
              </w:rPr>
              <w:t xml:space="preserve">1.000</w:t>
            </w:r>
          </w:p>
        </w:tc>
        <w:tc>
          <w:tcPr>
            <w:tcW w:type="dxa" w:w="1198"/>
            <w:tcMar>
              <w:top w:type="dxa" w:w="40"/>
              <w:left w:type="dxa" w:w="80"/>
              <w:bottom w:type="dxa" w:w="40"/>
              <w:right w:type="dxa" w:w="80"/>
            </w:tcMar>
          </w:tcPr>
          <w:p>
            <w:r>
              <w:rPr>
                <w:b w:val="false"/>
                <w:bCs w:val="false"/>
                <w:sz w:val="18"/>
                <w:szCs w:val="18"/>
              </w:rPr>
              <w:t xml:space="preserve">0.000</w:t>
            </w:r>
          </w:p>
        </w:tc>
      </w:tr>
      <w:tr>
        <w:tc>
          <w:tcPr>
            <w:tcW w:type="dxa" w:w="3265"/>
            <w:tcMar>
              <w:top w:type="dxa" w:w="40"/>
              <w:left w:type="dxa" w:w="80"/>
              <w:bottom w:type="dxa" w:w="40"/>
              <w:right w:type="dxa" w:w="80"/>
            </w:tcMar>
          </w:tcPr>
          <w:p>
            <w:r>
              <w:rPr>
                <w:b w:val="false"/>
                <w:bCs w:val="false"/>
                <w:sz w:val="18"/>
                <w:szCs w:val="18"/>
              </w:rPr>
              <w:t xml:space="preserve">log(cycles to 80% health)</w:t>
            </w:r>
          </w:p>
        </w:tc>
        <w:tc>
          <w:tcPr>
            <w:tcW w:type="dxa" w:w="1741"/>
            <w:tcMar>
              <w:top w:type="dxa" w:w="40"/>
              <w:left w:type="dxa" w:w="80"/>
              <w:bottom w:type="dxa" w:w="40"/>
              <w:right w:type="dxa" w:w="80"/>
            </w:tcMar>
          </w:tcPr>
          <w:p>
            <w:r>
              <w:rPr>
                <w:b w:val="false"/>
                <w:bCs w:val="false"/>
                <w:sz w:val="18"/>
                <w:szCs w:val="18"/>
              </w:rPr>
              <w:t xml:space="preserve">limit</w:t>
            </w:r>
          </w:p>
        </w:tc>
        <w:tc>
          <w:tcPr>
            <w:tcW w:type="dxa" w:w="653"/>
            <w:tcMar>
              <w:top w:type="dxa" w:w="40"/>
              <w:left w:type="dxa" w:w="80"/>
              <w:bottom w:type="dxa" w:w="40"/>
              <w:right w:type="dxa" w:w="80"/>
            </w:tcMar>
          </w:tcPr>
          <w:p>
            <w:r>
              <w:rPr>
                <w:b w:val="false"/>
                <w:bCs w:val="false"/>
                <w:sz w:val="18"/>
                <w:szCs w:val="18"/>
              </w:rPr>
              <w:t xml:space="preserve">1</w:t>
            </w:r>
          </w:p>
        </w:tc>
        <w:tc>
          <w:tcPr>
            <w:tcW w:type="dxa" w:w="1415"/>
            <w:tcMar>
              <w:top w:type="dxa" w:w="40"/>
              <w:left w:type="dxa" w:w="80"/>
              <w:bottom w:type="dxa" w:w="40"/>
              <w:right w:type="dxa" w:w="80"/>
            </w:tcMar>
          </w:tcPr>
          <w:p>
            <w:r>
              <w:rPr>
                <w:b w:val="false"/>
                <w:bCs w:val="false"/>
                <w:sz w:val="18"/>
                <w:szCs w:val="18"/>
              </w:rPr>
              <w:t xml:space="preserve">0.0</w:t>
            </w:r>
          </w:p>
        </w:tc>
        <w:tc>
          <w:tcPr>
            <w:tcW w:type="dxa" w:w="1088"/>
            <w:tcMar>
              <w:top w:type="dxa" w:w="40"/>
              <w:left w:type="dxa" w:w="80"/>
              <w:bottom w:type="dxa" w:w="40"/>
              <w:right w:type="dxa" w:w="80"/>
            </w:tcMar>
          </w:tcPr>
          <w:p>
            <w:r>
              <w:rPr>
                <w:b w:val="false"/>
                <w:bCs w:val="false"/>
                <w:sz w:val="18"/>
                <w:szCs w:val="18"/>
              </w:rPr>
              <w:t xml:space="preserve">1.000</w:t>
            </w:r>
          </w:p>
        </w:tc>
        <w:tc>
          <w:tcPr>
            <w:tcW w:type="dxa" w:w="1198"/>
            <w:tcMar>
              <w:top w:type="dxa" w:w="40"/>
              <w:left w:type="dxa" w:w="80"/>
              <w:bottom w:type="dxa" w:w="40"/>
              <w:right w:type="dxa" w:w="80"/>
            </w:tcMar>
          </w:tcPr>
          <w:p>
            <w:r>
              <w:rPr>
                <w:b w:val="false"/>
                <w:bCs w:val="false"/>
                <w:sz w:val="18"/>
                <w:szCs w:val="18"/>
              </w:rPr>
              <w:t xml:space="preserve">0.000</w:t>
            </w:r>
          </w:p>
        </w:tc>
      </w:tr>
      <w:tr>
        <w:tc>
          <w:tcPr>
            <w:tcW w:type="dxa" w:w="3265"/>
            <w:tcMar>
              <w:top w:type="dxa" w:w="40"/>
              <w:left w:type="dxa" w:w="80"/>
              <w:bottom w:type="dxa" w:w="40"/>
              <w:right w:type="dxa" w:w="80"/>
            </w:tcMar>
          </w:tcPr>
          <w:p>
            <w:r>
              <w:rPr>
                <w:b w:val="false"/>
                <w:bCs w:val="false"/>
                <w:sz w:val="18"/>
                <w:szCs w:val="18"/>
              </w:rPr>
              <w:t xml:space="preserve">log(cycles to 80% health)</w:t>
            </w:r>
          </w:p>
        </w:tc>
        <w:tc>
          <w:tcPr>
            <w:tcW w:type="dxa" w:w="1741"/>
            <w:tcMar>
              <w:top w:type="dxa" w:w="40"/>
              <w:left w:type="dxa" w:w="80"/>
              <w:bottom w:type="dxa" w:w="40"/>
              <w:right w:type="dxa" w:w="80"/>
            </w:tcMar>
          </w:tcPr>
          <w:p>
            <w:r>
              <w:rPr>
                <w:b w:val="false"/>
                <w:bCs w:val="false"/>
                <w:sz w:val="18"/>
                <w:szCs w:val="18"/>
              </w:rPr>
              <w:t xml:space="preserve">rate:method</w:t>
            </w:r>
          </w:p>
        </w:tc>
        <w:tc>
          <w:tcPr>
            <w:tcW w:type="dxa" w:w="653"/>
            <w:tcMar>
              <w:top w:type="dxa" w:w="40"/>
              <w:left w:type="dxa" w:w="80"/>
              <w:bottom w:type="dxa" w:w="40"/>
              <w:right w:type="dxa" w:w="80"/>
            </w:tcMar>
          </w:tcPr>
          <w:p>
            <w:r>
              <w:rPr>
                <w:b w:val="false"/>
                <w:bCs w:val="false"/>
                <w:sz w:val="18"/>
                <w:szCs w:val="18"/>
              </w:rPr>
              <w:t xml:space="preserve">2</w:t>
            </w:r>
          </w:p>
        </w:tc>
        <w:tc>
          <w:tcPr>
            <w:tcW w:type="dxa" w:w="1415"/>
            <w:tcMar>
              <w:top w:type="dxa" w:w="40"/>
              <w:left w:type="dxa" w:w="80"/>
              <w:bottom w:type="dxa" w:w="40"/>
              <w:right w:type="dxa" w:w="80"/>
            </w:tcMar>
          </w:tcPr>
          <w:p>
            <w:r>
              <w:rPr>
                <w:b w:val="false"/>
                <w:bCs w:val="false"/>
                <w:sz w:val="18"/>
                <w:szCs w:val="18"/>
              </w:rPr>
              <w:t xml:space="preserve">0.0</w:t>
            </w:r>
          </w:p>
        </w:tc>
        <w:tc>
          <w:tcPr>
            <w:tcW w:type="dxa" w:w="1088"/>
            <w:tcMar>
              <w:top w:type="dxa" w:w="40"/>
              <w:left w:type="dxa" w:w="80"/>
              <w:bottom w:type="dxa" w:w="40"/>
              <w:right w:type="dxa" w:w="80"/>
            </w:tcMar>
          </w:tcPr>
          <w:p>
            <w:r>
              <w:rPr>
                <w:b w:val="false"/>
                <w:bCs w:val="false"/>
                <w:sz w:val="18"/>
                <w:szCs w:val="18"/>
              </w:rPr>
              <w:t xml:space="preserve">1.000</w:t>
            </w:r>
          </w:p>
        </w:tc>
        <w:tc>
          <w:tcPr>
            <w:tcW w:type="dxa" w:w="1198"/>
            <w:tcMar>
              <w:top w:type="dxa" w:w="40"/>
              <w:left w:type="dxa" w:w="80"/>
              <w:bottom w:type="dxa" w:w="40"/>
              <w:right w:type="dxa" w:w="80"/>
            </w:tcMar>
          </w:tcPr>
          <w:p>
            <w:r>
              <w:rPr>
                <w:b w:val="false"/>
                <w:bCs w:val="false"/>
                <w:sz w:val="18"/>
                <w:szCs w:val="18"/>
              </w:rPr>
              <w:t xml:space="preserve">0.000</w:t>
            </w:r>
          </w:p>
        </w:tc>
      </w:tr>
      <w:tr>
        <w:tc>
          <w:tcPr>
            <w:tcW w:type="dxa" w:w="3265"/>
            <w:tcMar>
              <w:top w:type="dxa" w:w="40"/>
              <w:left w:type="dxa" w:w="80"/>
              <w:bottom w:type="dxa" w:w="40"/>
              <w:right w:type="dxa" w:w="80"/>
            </w:tcMar>
          </w:tcPr>
          <w:p>
            <w:r>
              <w:rPr>
                <w:b w:val="false"/>
                <w:bCs w:val="false"/>
                <w:sz w:val="18"/>
                <w:szCs w:val="18"/>
              </w:rPr>
              <w:t xml:space="preserve">Health at 500 cycles</w:t>
            </w:r>
          </w:p>
        </w:tc>
        <w:tc>
          <w:tcPr>
            <w:tcW w:type="dxa" w:w="1741"/>
            <w:tcMar>
              <w:top w:type="dxa" w:w="40"/>
              <w:left w:type="dxa" w:w="80"/>
              <w:bottom w:type="dxa" w:w="40"/>
              <w:right w:type="dxa" w:w="80"/>
            </w:tcMar>
          </w:tcPr>
          <w:p>
            <w:r>
              <w:rPr>
                <w:b w:val="false"/>
                <w:bCs w:val="false"/>
                <w:sz w:val="18"/>
                <w:szCs w:val="18"/>
              </w:rPr>
              <w:t xml:space="preserve">rate</w:t>
            </w:r>
          </w:p>
        </w:tc>
        <w:tc>
          <w:tcPr>
            <w:tcW w:type="dxa" w:w="653"/>
            <w:tcMar>
              <w:top w:type="dxa" w:w="40"/>
              <w:left w:type="dxa" w:w="80"/>
              <w:bottom w:type="dxa" w:w="40"/>
              <w:right w:type="dxa" w:w="80"/>
            </w:tcMar>
          </w:tcPr>
          <w:p>
            <w:r>
              <w:rPr>
                <w:b w:val="false"/>
                <w:bCs w:val="false"/>
                <w:sz w:val="18"/>
                <w:szCs w:val="18"/>
              </w:rPr>
              <w:t xml:space="preserve">2</w:t>
            </w:r>
          </w:p>
        </w:tc>
        <w:tc>
          <w:tcPr>
            <w:tcW w:type="dxa" w:w="1415"/>
            <w:tcMar>
              <w:top w:type="dxa" w:w="40"/>
              <w:left w:type="dxa" w:w="80"/>
              <w:bottom w:type="dxa" w:w="40"/>
              <w:right w:type="dxa" w:w="80"/>
            </w:tcMar>
          </w:tcPr>
          <w:p>
            <w:r>
              <w:rPr>
                <w:b w:val="false"/>
                <w:bCs w:val="false"/>
                <w:sz w:val="18"/>
                <w:szCs w:val="18"/>
              </w:rPr>
              <w:t xml:space="preserve">2036.9</w:t>
            </w:r>
          </w:p>
        </w:tc>
        <w:tc>
          <w:tcPr>
            <w:tcW w:type="dxa" w:w="1088"/>
            <w:tcMar>
              <w:top w:type="dxa" w:w="40"/>
              <w:left w:type="dxa" w:w="80"/>
              <w:bottom w:type="dxa" w:w="40"/>
              <w:right w:type="dxa" w:w="80"/>
            </w:tcMar>
          </w:tcPr>
          <w:p>
            <w:r>
              <w:rPr>
                <w:b w:val="false"/>
                <w:bCs w:val="false"/>
                <w:sz w:val="18"/>
                <w:szCs w:val="18"/>
              </w:rPr>
              <w:t xml:space="preserve">&lt; 0.001</w:t>
            </w:r>
          </w:p>
        </w:tc>
        <w:tc>
          <w:tcPr>
            <w:tcW w:type="dxa" w:w="1198"/>
            <w:tcMar>
              <w:top w:type="dxa" w:w="40"/>
              <w:left w:type="dxa" w:w="80"/>
              <w:bottom w:type="dxa" w:w="40"/>
              <w:right w:type="dxa" w:w="80"/>
            </w:tcMar>
          </w:tcPr>
          <w:p>
            <w:r>
              <w:rPr>
                <w:b w:val="false"/>
                <w:bCs w:val="false"/>
                <w:sz w:val="18"/>
                <w:szCs w:val="18"/>
              </w:rPr>
              <w:t xml:space="preserve">0.102</w:t>
            </w:r>
          </w:p>
        </w:tc>
      </w:tr>
      <w:tr>
        <w:tc>
          <w:tcPr>
            <w:tcW w:type="dxa" w:w="3265"/>
            <w:tcMar>
              <w:top w:type="dxa" w:w="40"/>
              <w:left w:type="dxa" w:w="80"/>
              <w:bottom w:type="dxa" w:w="40"/>
              <w:right w:type="dxa" w:w="80"/>
            </w:tcMar>
          </w:tcPr>
          <w:p>
            <w:r>
              <w:rPr>
                <w:b w:val="false"/>
                <w:bCs w:val="false"/>
                <w:sz w:val="18"/>
                <w:szCs w:val="18"/>
              </w:rPr>
              <w:t xml:space="preserve">Health at 500 cycles</w:t>
            </w:r>
          </w:p>
        </w:tc>
        <w:tc>
          <w:tcPr>
            <w:tcW w:type="dxa" w:w="1741"/>
            <w:tcMar>
              <w:top w:type="dxa" w:w="40"/>
              <w:left w:type="dxa" w:w="80"/>
              <w:bottom w:type="dxa" w:w="40"/>
              <w:right w:type="dxa" w:w="80"/>
            </w:tcMar>
          </w:tcPr>
          <w:p>
            <w:r>
              <w:rPr>
                <w:b w:val="false"/>
                <w:bCs w:val="false"/>
                <w:sz w:val="18"/>
                <w:szCs w:val="18"/>
              </w:rPr>
              <w:t xml:space="preserve">method</w:t>
            </w:r>
          </w:p>
        </w:tc>
        <w:tc>
          <w:tcPr>
            <w:tcW w:type="dxa" w:w="653"/>
            <w:tcMar>
              <w:top w:type="dxa" w:w="40"/>
              <w:left w:type="dxa" w:w="80"/>
              <w:bottom w:type="dxa" w:w="40"/>
              <w:right w:type="dxa" w:w="80"/>
            </w:tcMar>
          </w:tcPr>
          <w:p>
            <w:r>
              <w:rPr>
                <w:b w:val="false"/>
                <w:bCs w:val="false"/>
                <w:sz w:val="18"/>
                <w:szCs w:val="18"/>
              </w:rPr>
              <w:t xml:space="preserve">1</w:t>
            </w:r>
          </w:p>
        </w:tc>
        <w:tc>
          <w:tcPr>
            <w:tcW w:type="dxa" w:w="1415"/>
            <w:tcMar>
              <w:top w:type="dxa" w:w="40"/>
              <w:left w:type="dxa" w:w="80"/>
              <w:bottom w:type="dxa" w:w="40"/>
              <w:right w:type="dxa" w:w="80"/>
            </w:tcMar>
          </w:tcPr>
          <w:p>
            <w:r>
              <w:rPr>
                <w:b w:val="false"/>
                <w:bCs w:val="false"/>
                <w:sz w:val="18"/>
                <w:szCs w:val="18"/>
              </w:rPr>
              <w:t xml:space="preserve">0.0</w:t>
            </w:r>
          </w:p>
        </w:tc>
        <w:tc>
          <w:tcPr>
            <w:tcW w:type="dxa" w:w="1088"/>
            <w:tcMar>
              <w:top w:type="dxa" w:w="40"/>
              <w:left w:type="dxa" w:w="80"/>
              <w:bottom w:type="dxa" w:w="40"/>
              <w:right w:type="dxa" w:w="80"/>
            </w:tcMar>
          </w:tcPr>
          <w:p>
            <w:r>
              <w:rPr>
                <w:b w:val="false"/>
                <w:bCs w:val="false"/>
                <w:sz w:val="18"/>
                <w:szCs w:val="18"/>
              </w:rPr>
              <w:t xml:space="preserve">1.000</w:t>
            </w:r>
          </w:p>
        </w:tc>
        <w:tc>
          <w:tcPr>
            <w:tcW w:type="dxa" w:w="1198"/>
            <w:tcMar>
              <w:top w:type="dxa" w:w="40"/>
              <w:left w:type="dxa" w:w="80"/>
              <w:bottom w:type="dxa" w:w="40"/>
              <w:right w:type="dxa" w:w="80"/>
            </w:tcMar>
          </w:tcPr>
          <w:p>
            <w:r>
              <w:rPr>
                <w:b w:val="false"/>
                <w:bCs w:val="false"/>
                <w:sz w:val="18"/>
                <w:szCs w:val="18"/>
              </w:rPr>
              <w:t xml:space="preserve">0.000</w:t>
            </w:r>
          </w:p>
        </w:tc>
      </w:tr>
      <w:tr>
        <w:tc>
          <w:tcPr>
            <w:tcW w:type="dxa" w:w="3265"/>
            <w:tcMar>
              <w:top w:type="dxa" w:w="40"/>
              <w:left w:type="dxa" w:w="80"/>
              <w:bottom w:type="dxa" w:w="40"/>
              <w:right w:type="dxa" w:w="80"/>
            </w:tcMar>
          </w:tcPr>
          <w:p>
            <w:r>
              <w:rPr>
                <w:b w:val="false"/>
                <w:bCs w:val="false"/>
                <w:sz w:val="18"/>
                <w:szCs w:val="18"/>
              </w:rPr>
              <w:t xml:space="preserve">Health at 500 cycles</w:t>
            </w:r>
          </w:p>
        </w:tc>
        <w:tc>
          <w:tcPr>
            <w:tcW w:type="dxa" w:w="1741"/>
            <w:tcMar>
              <w:top w:type="dxa" w:w="40"/>
              <w:left w:type="dxa" w:w="80"/>
              <w:bottom w:type="dxa" w:w="40"/>
              <w:right w:type="dxa" w:w="80"/>
            </w:tcMar>
          </w:tcPr>
          <w:p>
            <w:r>
              <w:rPr>
                <w:b w:val="false"/>
                <w:bCs w:val="false"/>
                <w:sz w:val="18"/>
                <w:szCs w:val="18"/>
              </w:rPr>
              <w:t xml:space="preserve">ambient</w:t>
            </w:r>
          </w:p>
        </w:tc>
        <w:tc>
          <w:tcPr>
            <w:tcW w:type="dxa" w:w="653"/>
            <w:tcMar>
              <w:top w:type="dxa" w:w="40"/>
              <w:left w:type="dxa" w:w="80"/>
              <w:bottom w:type="dxa" w:w="40"/>
              <w:right w:type="dxa" w:w="80"/>
            </w:tcMar>
          </w:tcPr>
          <w:p>
            <w:r>
              <w:rPr>
                <w:b w:val="false"/>
                <w:bCs w:val="false"/>
                <w:sz w:val="18"/>
                <w:szCs w:val="18"/>
              </w:rPr>
              <w:t xml:space="preserve">2</w:t>
            </w:r>
          </w:p>
        </w:tc>
        <w:tc>
          <w:tcPr>
            <w:tcW w:type="dxa" w:w="1415"/>
            <w:tcMar>
              <w:top w:type="dxa" w:w="40"/>
              <w:left w:type="dxa" w:w="80"/>
              <w:bottom w:type="dxa" w:w="40"/>
              <w:right w:type="dxa" w:w="80"/>
            </w:tcMar>
          </w:tcPr>
          <w:p>
            <w:r>
              <w:rPr>
                <w:b w:val="false"/>
                <w:bCs w:val="false"/>
                <w:sz w:val="18"/>
                <w:szCs w:val="18"/>
              </w:rPr>
              <w:t xml:space="preserve">0.0</w:t>
            </w:r>
          </w:p>
        </w:tc>
        <w:tc>
          <w:tcPr>
            <w:tcW w:type="dxa" w:w="1088"/>
            <w:tcMar>
              <w:top w:type="dxa" w:w="40"/>
              <w:left w:type="dxa" w:w="80"/>
              <w:bottom w:type="dxa" w:w="40"/>
              <w:right w:type="dxa" w:w="80"/>
            </w:tcMar>
          </w:tcPr>
          <w:p>
            <w:r>
              <w:rPr>
                <w:b w:val="false"/>
                <w:bCs w:val="false"/>
                <w:sz w:val="18"/>
                <w:szCs w:val="18"/>
              </w:rPr>
              <w:t xml:space="preserve">1.000</w:t>
            </w:r>
          </w:p>
        </w:tc>
        <w:tc>
          <w:tcPr>
            <w:tcW w:type="dxa" w:w="1198"/>
            <w:tcMar>
              <w:top w:type="dxa" w:w="40"/>
              <w:left w:type="dxa" w:w="80"/>
              <w:bottom w:type="dxa" w:w="40"/>
              <w:right w:type="dxa" w:w="80"/>
            </w:tcMar>
          </w:tcPr>
          <w:p>
            <w:r>
              <w:rPr>
                <w:b w:val="false"/>
                <w:bCs w:val="false"/>
                <w:sz w:val="18"/>
                <w:szCs w:val="18"/>
              </w:rPr>
              <w:t xml:space="preserve">0.000</w:t>
            </w:r>
          </w:p>
        </w:tc>
      </w:tr>
      <w:tr>
        <w:tc>
          <w:tcPr>
            <w:tcW w:type="dxa" w:w="3265"/>
            <w:tcMar>
              <w:top w:type="dxa" w:w="40"/>
              <w:left w:type="dxa" w:w="80"/>
              <w:bottom w:type="dxa" w:w="40"/>
              <w:right w:type="dxa" w:w="80"/>
            </w:tcMar>
          </w:tcPr>
          <w:p>
            <w:r>
              <w:rPr>
                <w:b w:val="false"/>
                <w:bCs w:val="false"/>
                <w:sz w:val="18"/>
                <w:szCs w:val="18"/>
              </w:rPr>
              <w:t xml:space="preserve">Health at 500 cycles</w:t>
            </w:r>
          </w:p>
        </w:tc>
        <w:tc>
          <w:tcPr>
            <w:tcW w:type="dxa" w:w="1741"/>
            <w:tcMar>
              <w:top w:type="dxa" w:w="40"/>
              <w:left w:type="dxa" w:w="80"/>
              <w:bottom w:type="dxa" w:w="40"/>
              <w:right w:type="dxa" w:w="80"/>
            </w:tcMar>
          </w:tcPr>
          <w:p>
            <w:r>
              <w:rPr>
                <w:b w:val="false"/>
                <w:bCs w:val="false"/>
                <w:sz w:val="18"/>
                <w:szCs w:val="18"/>
              </w:rPr>
              <w:t xml:space="preserve">limit</w:t>
            </w:r>
          </w:p>
        </w:tc>
        <w:tc>
          <w:tcPr>
            <w:tcW w:type="dxa" w:w="653"/>
            <w:tcMar>
              <w:top w:type="dxa" w:w="40"/>
              <w:left w:type="dxa" w:w="80"/>
              <w:bottom w:type="dxa" w:w="40"/>
              <w:right w:type="dxa" w:w="80"/>
            </w:tcMar>
          </w:tcPr>
          <w:p>
            <w:r>
              <w:rPr>
                <w:b w:val="false"/>
                <w:bCs w:val="false"/>
                <w:sz w:val="18"/>
                <w:szCs w:val="18"/>
              </w:rPr>
              <w:t xml:space="preserve">1</w:t>
            </w:r>
          </w:p>
        </w:tc>
        <w:tc>
          <w:tcPr>
            <w:tcW w:type="dxa" w:w="1415"/>
            <w:tcMar>
              <w:top w:type="dxa" w:w="40"/>
              <w:left w:type="dxa" w:w="80"/>
              <w:bottom w:type="dxa" w:w="40"/>
              <w:right w:type="dxa" w:w="80"/>
            </w:tcMar>
          </w:tcPr>
          <w:p>
            <w:r>
              <w:rPr>
                <w:b w:val="false"/>
                <w:bCs w:val="false"/>
                <w:sz w:val="18"/>
                <w:szCs w:val="18"/>
              </w:rPr>
              <w:t xml:space="preserve">0.0</w:t>
            </w:r>
          </w:p>
        </w:tc>
        <w:tc>
          <w:tcPr>
            <w:tcW w:type="dxa" w:w="1088"/>
            <w:tcMar>
              <w:top w:type="dxa" w:w="40"/>
              <w:left w:type="dxa" w:w="80"/>
              <w:bottom w:type="dxa" w:w="40"/>
              <w:right w:type="dxa" w:w="80"/>
            </w:tcMar>
          </w:tcPr>
          <w:p>
            <w:r>
              <w:rPr>
                <w:b w:val="false"/>
                <w:bCs w:val="false"/>
                <w:sz w:val="18"/>
                <w:szCs w:val="18"/>
              </w:rPr>
              <w:t xml:space="preserve">1.000</w:t>
            </w:r>
          </w:p>
        </w:tc>
        <w:tc>
          <w:tcPr>
            <w:tcW w:type="dxa" w:w="1198"/>
            <w:tcMar>
              <w:top w:type="dxa" w:w="40"/>
              <w:left w:type="dxa" w:w="80"/>
              <w:bottom w:type="dxa" w:w="40"/>
              <w:right w:type="dxa" w:w="80"/>
            </w:tcMar>
          </w:tcPr>
          <w:p>
            <w:r>
              <w:rPr>
                <w:b w:val="false"/>
                <w:bCs w:val="false"/>
                <w:sz w:val="18"/>
                <w:szCs w:val="18"/>
              </w:rPr>
              <w:t xml:space="preserve">0.000</w:t>
            </w:r>
          </w:p>
        </w:tc>
      </w:tr>
      <w:tr>
        <w:tc>
          <w:tcPr>
            <w:tcW w:type="dxa" w:w="3265"/>
            <w:tcMar>
              <w:top w:type="dxa" w:w="40"/>
              <w:left w:type="dxa" w:w="80"/>
              <w:bottom w:type="dxa" w:w="40"/>
              <w:right w:type="dxa" w:w="80"/>
            </w:tcMar>
          </w:tcPr>
          <w:p>
            <w:r>
              <w:rPr>
                <w:b w:val="false"/>
                <w:bCs w:val="false"/>
                <w:sz w:val="18"/>
                <w:szCs w:val="18"/>
              </w:rPr>
              <w:t xml:space="preserve">Health at 500 cycles</w:t>
            </w:r>
          </w:p>
        </w:tc>
        <w:tc>
          <w:tcPr>
            <w:tcW w:type="dxa" w:w="1741"/>
            <w:tcMar>
              <w:top w:type="dxa" w:w="40"/>
              <w:left w:type="dxa" w:w="80"/>
              <w:bottom w:type="dxa" w:w="40"/>
              <w:right w:type="dxa" w:w="80"/>
            </w:tcMar>
          </w:tcPr>
          <w:p>
            <w:r>
              <w:rPr>
                <w:b w:val="false"/>
                <w:bCs w:val="false"/>
                <w:sz w:val="18"/>
                <w:szCs w:val="18"/>
              </w:rPr>
              <w:t xml:space="preserve">rate:method</w:t>
            </w:r>
          </w:p>
        </w:tc>
        <w:tc>
          <w:tcPr>
            <w:tcW w:type="dxa" w:w="653"/>
            <w:tcMar>
              <w:top w:type="dxa" w:w="40"/>
              <w:left w:type="dxa" w:w="80"/>
              <w:bottom w:type="dxa" w:w="40"/>
              <w:right w:type="dxa" w:w="80"/>
            </w:tcMar>
          </w:tcPr>
          <w:p>
            <w:r>
              <w:rPr>
                <w:b w:val="false"/>
                <w:bCs w:val="false"/>
                <w:sz w:val="18"/>
                <w:szCs w:val="18"/>
              </w:rPr>
              <w:t xml:space="preserve">2</w:t>
            </w:r>
          </w:p>
        </w:tc>
        <w:tc>
          <w:tcPr>
            <w:tcW w:type="dxa" w:w="1415"/>
            <w:tcMar>
              <w:top w:type="dxa" w:w="40"/>
              <w:left w:type="dxa" w:w="80"/>
              <w:bottom w:type="dxa" w:w="40"/>
              <w:right w:type="dxa" w:w="80"/>
            </w:tcMar>
          </w:tcPr>
          <w:p>
            <w:r>
              <w:rPr>
                <w:b w:val="false"/>
                <w:bCs w:val="false"/>
                <w:sz w:val="18"/>
                <w:szCs w:val="18"/>
              </w:rPr>
              <w:t xml:space="preserve">0.0</w:t>
            </w:r>
          </w:p>
        </w:tc>
        <w:tc>
          <w:tcPr>
            <w:tcW w:type="dxa" w:w="1088"/>
            <w:tcMar>
              <w:top w:type="dxa" w:w="40"/>
              <w:left w:type="dxa" w:w="80"/>
              <w:bottom w:type="dxa" w:w="40"/>
              <w:right w:type="dxa" w:w="80"/>
            </w:tcMar>
          </w:tcPr>
          <w:p>
            <w:r>
              <w:rPr>
                <w:b w:val="false"/>
                <w:bCs w:val="false"/>
                <w:sz w:val="18"/>
                <w:szCs w:val="18"/>
              </w:rPr>
              <w:t xml:space="preserve">1.000</w:t>
            </w:r>
          </w:p>
        </w:tc>
        <w:tc>
          <w:tcPr>
            <w:tcW w:type="dxa" w:w="1198"/>
            <w:tcMar>
              <w:top w:type="dxa" w:w="40"/>
              <w:left w:type="dxa" w:w="80"/>
              <w:bottom w:type="dxa" w:w="40"/>
              <w:right w:type="dxa" w:w="80"/>
            </w:tcMar>
          </w:tcPr>
          <w:p>
            <w:r>
              <w:rPr>
                <w:b w:val="false"/>
                <w:bCs w:val="false"/>
                <w:sz w:val="18"/>
                <w:szCs w:val="18"/>
              </w:rPr>
              <w:t xml:space="preserve">0.000</w:t>
            </w:r>
          </w:p>
        </w:tc>
      </w:tr>
      <w:tr>
        <w:tc>
          <w:tcPr>
            <w:tcW w:type="dxa" w:w="3265"/>
            <w:tcMar>
              <w:top w:type="dxa" w:w="40"/>
              <w:left w:type="dxa" w:w="80"/>
              <w:bottom w:type="dxa" w:w="40"/>
              <w:right w:type="dxa" w:w="80"/>
            </w:tcMar>
          </w:tcPr>
          <w:p>
            <w:r>
              <w:rPr>
                <w:b w:val="false"/>
                <w:bCs w:val="false"/>
                <w:sz w:val="18"/>
                <w:szCs w:val="18"/>
              </w:rPr>
              <w:t xml:space="preserve">Health at 1000 cycles</w:t>
            </w:r>
          </w:p>
        </w:tc>
        <w:tc>
          <w:tcPr>
            <w:tcW w:type="dxa" w:w="1741"/>
            <w:tcMar>
              <w:top w:type="dxa" w:w="40"/>
              <w:left w:type="dxa" w:w="80"/>
              <w:bottom w:type="dxa" w:w="40"/>
              <w:right w:type="dxa" w:w="80"/>
            </w:tcMar>
          </w:tcPr>
          <w:p>
            <w:r>
              <w:rPr>
                <w:b w:val="false"/>
                <w:bCs w:val="false"/>
                <w:sz w:val="18"/>
                <w:szCs w:val="18"/>
              </w:rPr>
              <w:t xml:space="preserve">rate</w:t>
            </w:r>
          </w:p>
        </w:tc>
        <w:tc>
          <w:tcPr>
            <w:tcW w:type="dxa" w:w="653"/>
            <w:tcMar>
              <w:top w:type="dxa" w:w="40"/>
              <w:left w:type="dxa" w:w="80"/>
              <w:bottom w:type="dxa" w:w="40"/>
              <w:right w:type="dxa" w:w="80"/>
            </w:tcMar>
          </w:tcPr>
          <w:p>
            <w:r>
              <w:rPr>
                <w:b w:val="false"/>
                <w:bCs w:val="false"/>
                <w:sz w:val="18"/>
                <w:szCs w:val="18"/>
              </w:rPr>
              <w:t xml:space="preserve">2</w:t>
            </w:r>
          </w:p>
        </w:tc>
        <w:tc>
          <w:tcPr>
            <w:tcW w:type="dxa" w:w="1415"/>
            <w:tcMar>
              <w:top w:type="dxa" w:w="40"/>
              <w:left w:type="dxa" w:w="80"/>
              <w:bottom w:type="dxa" w:w="40"/>
              <w:right w:type="dxa" w:w="80"/>
            </w:tcMar>
          </w:tcPr>
          <w:p>
            <w:r>
              <w:rPr>
                <w:b w:val="false"/>
                <w:bCs w:val="false"/>
                <w:sz w:val="18"/>
                <w:szCs w:val="18"/>
              </w:rPr>
              <w:t xml:space="preserve">4573.4</w:t>
            </w:r>
          </w:p>
        </w:tc>
        <w:tc>
          <w:tcPr>
            <w:tcW w:type="dxa" w:w="1088"/>
            <w:tcMar>
              <w:top w:type="dxa" w:w="40"/>
              <w:left w:type="dxa" w:w="80"/>
              <w:bottom w:type="dxa" w:w="40"/>
              <w:right w:type="dxa" w:w="80"/>
            </w:tcMar>
          </w:tcPr>
          <w:p>
            <w:r>
              <w:rPr>
                <w:b w:val="false"/>
                <w:bCs w:val="false"/>
                <w:sz w:val="18"/>
                <w:szCs w:val="18"/>
              </w:rPr>
              <w:t xml:space="preserve">&lt; 0.001</w:t>
            </w:r>
          </w:p>
        </w:tc>
        <w:tc>
          <w:tcPr>
            <w:tcW w:type="dxa" w:w="1198"/>
            <w:tcMar>
              <w:top w:type="dxa" w:w="40"/>
              <w:left w:type="dxa" w:w="80"/>
              <w:bottom w:type="dxa" w:w="40"/>
              <w:right w:type="dxa" w:w="80"/>
            </w:tcMar>
          </w:tcPr>
          <w:p>
            <w:r>
              <w:rPr>
                <w:b w:val="false"/>
                <w:bCs w:val="false"/>
                <w:sz w:val="18"/>
                <w:szCs w:val="18"/>
              </w:rPr>
              <w:t xml:space="preserve">0.212</w:t>
            </w:r>
          </w:p>
        </w:tc>
      </w:tr>
      <w:tr>
        <w:tc>
          <w:tcPr>
            <w:tcW w:type="dxa" w:w="3265"/>
            <w:tcMar>
              <w:top w:type="dxa" w:w="40"/>
              <w:left w:type="dxa" w:w="80"/>
              <w:bottom w:type="dxa" w:w="40"/>
              <w:right w:type="dxa" w:w="80"/>
            </w:tcMar>
          </w:tcPr>
          <w:p>
            <w:r>
              <w:rPr>
                <w:b w:val="false"/>
                <w:bCs w:val="false"/>
                <w:sz w:val="18"/>
                <w:szCs w:val="18"/>
              </w:rPr>
              <w:t xml:space="preserve">Health at 1000 cycles</w:t>
            </w:r>
          </w:p>
        </w:tc>
        <w:tc>
          <w:tcPr>
            <w:tcW w:type="dxa" w:w="1741"/>
            <w:tcMar>
              <w:top w:type="dxa" w:w="40"/>
              <w:left w:type="dxa" w:w="80"/>
              <w:bottom w:type="dxa" w:w="40"/>
              <w:right w:type="dxa" w:w="80"/>
            </w:tcMar>
          </w:tcPr>
          <w:p>
            <w:r>
              <w:rPr>
                <w:b w:val="false"/>
                <w:bCs w:val="false"/>
                <w:sz w:val="18"/>
                <w:szCs w:val="18"/>
              </w:rPr>
              <w:t xml:space="preserve">method</w:t>
            </w:r>
          </w:p>
        </w:tc>
        <w:tc>
          <w:tcPr>
            <w:tcW w:type="dxa" w:w="653"/>
            <w:tcMar>
              <w:top w:type="dxa" w:w="40"/>
              <w:left w:type="dxa" w:w="80"/>
              <w:bottom w:type="dxa" w:w="40"/>
              <w:right w:type="dxa" w:w="80"/>
            </w:tcMar>
          </w:tcPr>
          <w:p>
            <w:r>
              <w:rPr>
                <w:b w:val="false"/>
                <w:bCs w:val="false"/>
                <w:sz w:val="18"/>
                <w:szCs w:val="18"/>
              </w:rPr>
              <w:t xml:space="preserve">1</w:t>
            </w:r>
          </w:p>
        </w:tc>
        <w:tc>
          <w:tcPr>
            <w:tcW w:type="dxa" w:w="1415"/>
            <w:tcMar>
              <w:top w:type="dxa" w:w="40"/>
              <w:left w:type="dxa" w:w="80"/>
              <w:bottom w:type="dxa" w:w="40"/>
              <w:right w:type="dxa" w:w="80"/>
            </w:tcMar>
          </w:tcPr>
          <w:p>
            <w:r>
              <w:rPr>
                <w:b w:val="false"/>
                <w:bCs w:val="false"/>
                <w:sz w:val="18"/>
                <w:szCs w:val="18"/>
              </w:rPr>
              <w:t xml:space="preserve">0.0</w:t>
            </w:r>
          </w:p>
        </w:tc>
        <w:tc>
          <w:tcPr>
            <w:tcW w:type="dxa" w:w="1088"/>
            <w:tcMar>
              <w:top w:type="dxa" w:w="40"/>
              <w:left w:type="dxa" w:w="80"/>
              <w:bottom w:type="dxa" w:w="40"/>
              <w:right w:type="dxa" w:w="80"/>
            </w:tcMar>
          </w:tcPr>
          <w:p>
            <w:r>
              <w:rPr>
                <w:b w:val="false"/>
                <w:bCs w:val="false"/>
                <w:sz w:val="18"/>
                <w:szCs w:val="18"/>
              </w:rPr>
              <w:t xml:space="preserve">1.000</w:t>
            </w:r>
          </w:p>
        </w:tc>
        <w:tc>
          <w:tcPr>
            <w:tcW w:type="dxa" w:w="1198"/>
            <w:tcMar>
              <w:top w:type="dxa" w:w="40"/>
              <w:left w:type="dxa" w:w="80"/>
              <w:bottom w:type="dxa" w:w="40"/>
              <w:right w:type="dxa" w:w="80"/>
            </w:tcMar>
          </w:tcPr>
          <w:p>
            <w:r>
              <w:rPr>
                <w:b w:val="false"/>
                <w:bCs w:val="false"/>
                <w:sz w:val="18"/>
                <w:szCs w:val="18"/>
              </w:rPr>
              <w:t xml:space="preserve">0.000</w:t>
            </w:r>
          </w:p>
        </w:tc>
      </w:tr>
      <w:tr>
        <w:tc>
          <w:tcPr>
            <w:tcW w:type="dxa" w:w="3265"/>
            <w:tcMar>
              <w:top w:type="dxa" w:w="40"/>
              <w:left w:type="dxa" w:w="80"/>
              <w:bottom w:type="dxa" w:w="40"/>
              <w:right w:type="dxa" w:w="80"/>
            </w:tcMar>
          </w:tcPr>
          <w:p>
            <w:r>
              <w:rPr>
                <w:b w:val="false"/>
                <w:bCs w:val="false"/>
                <w:sz w:val="18"/>
                <w:szCs w:val="18"/>
              </w:rPr>
              <w:t xml:space="preserve">Health at 1000 cycles</w:t>
            </w:r>
          </w:p>
        </w:tc>
        <w:tc>
          <w:tcPr>
            <w:tcW w:type="dxa" w:w="1741"/>
            <w:tcMar>
              <w:top w:type="dxa" w:w="40"/>
              <w:left w:type="dxa" w:w="80"/>
              <w:bottom w:type="dxa" w:w="40"/>
              <w:right w:type="dxa" w:w="80"/>
            </w:tcMar>
          </w:tcPr>
          <w:p>
            <w:r>
              <w:rPr>
                <w:b w:val="false"/>
                <w:bCs w:val="false"/>
                <w:sz w:val="18"/>
                <w:szCs w:val="18"/>
              </w:rPr>
              <w:t xml:space="preserve">ambient</w:t>
            </w:r>
          </w:p>
        </w:tc>
        <w:tc>
          <w:tcPr>
            <w:tcW w:type="dxa" w:w="653"/>
            <w:tcMar>
              <w:top w:type="dxa" w:w="40"/>
              <w:left w:type="dxa" w:w="80"/>
              <w:bottom w:type="dxa" w:w="40"/>
              <w:right w:type="dxa" w:w="80"/>
            </w:tcMar>
          </w:tcPr>
          <w:p>
            <w:r>
              <w:rPr>
                <w:b w:val="false"/>
                <w:bCs w:val="false"/>
                <w:sz w:val="18"/>
                <w:szCs w:val="18"/>
              </w:rPr>
              <w:t xml:space="preserve">2</w:t>
            </w:r>
          </w:p>
        </w:tc>
        <w:tc>
          <w:tcPr>
            <w:tcW w:type="dxa" w:w="1415"/>
            <w:tcMar>
              <w:top w:type="dxa" w:w="40"/>
              <w:left w:type="dxa" w:w="80"/>
              <w:bottom w:type="dxa" w:w="40"/>
              <w:right w:type="dxa" w:w="80"/>
            </w:tcMar>
          </w:tcPr>
          <w:p>
            <w:r>
              <w:rPr>
                <w:b w:val="false"/>
                <w:bCs w:val="false"/>
                <w:sz w:val="18"/>
                <w:szCs w:val="18"/>
              </w:rPr>
              <w:t xml:space="preserve">0.0</w:t>
            </w:r>
          </w:p>
        </w:tc>
        <w:tc>
          <w:tcPr>
            <w:tcW w:type="dxa" w:w="1088"/>
            <w:tcMar>
              <w:top w:type="dxa" w:w="40"/>
              <w:left w:type="dxa" w:w="80"/>
              <w:bottom w:type="dxa" w:w="40"/>
              <w:right w:type="dxa" w:w="80"/>
            </w:tcMar>
          </w:tcPr>
          <w:p>
            <w:r>
              <w:rPr>
                <w:b w:val="false"/>
                <w:bCs w:val="false"/>
                <w:sz w:val="18"/>
                <w:szCs w:val="18"/>
              </w:rPr>
              <w:t xml:space="preserve">1.000</w:t>
            </w:r>
          </w:p>
        </w:tc>
        <w:tc>
          <w:tcPr>
            <w:tcW w:type="dxa" w:w="1198"/>
            <w:tcMar>
              <w:top w:type="dxa" w:w="40"/>
              <w:left w:type="dxa" w:w="80"/>
              <w:bottom w:type="dxa" w:w="40"/>
              <w:right w:type="dxa" w:w="80"/>
            </w:tcMar>
          </w:tcPr>
          <w:p>
            <w:r>
              <w:rPr>
                <w:b w:val="false"/>
                <w:bCs w:val="false"/>
                <w:sz w:val="18"/>
                <w:szCs w:val="18"/>
              </w:rPr>
              <w:t xml:space="preserve">0.000</w:t>
            </w:r>
          </w:p>
        </w:tc>
      </w:tr>
      <w:tr>
        <w:tc>
          <w:tcPr>
            <w:tcW w:type="dxa" w:w="3265"/>
            <w:tcMar>
              <w:top w:type="dxa" w:w="40"/>
              <w:left w:type="dxa" w:w="80"/>
              <w:bottom w:type="dxa" w:w="40"/>
              <w:right w:type="dxa" w:w="80"/>
            </w:tcMar>
          </w:tcPr>
          <w:p>
            <w:r>
              <w:rPr>
                <w:b w:val="false"/>
                <w:bCs w:val="false"/>
                <w:sz w:val="18"/>
                <w:szCs w:val="18"/>
              </w:rPr>
              <w:t xml:space="preserve">Health at 1000 cycles</w:t>
            </w:r>
          </w:p>
        </w:tc>
        <w:tc>
          <w:tcPr>
            <w:tcW w:type="dxa" w:w="1741"/>
            <w:tcMar>
              <w:top w:type="dxa" w:w="40"/>
              <w:left w:type="dxa" w:w="80"/>
              <w:bottom w:type="dxa" w:w="40"/>
              <w:right w:type="dxa" w:w="80"/>
            </w:tcMar>
          </w:tcPr>
          <w:p>
            <w:r>
              <w:rPr>
                <w:b w:val="false"/>
                <w:bCs w:val="false"/>
                <w:sz w:val="18"/>
                <w:szCs w:val="18"/>
              </w:rPr>
              <w:t xml:space="preserve">limit</w:t>
            </w:r>
          </w:p>
        </w:tc>
        <w:tc>
          <w:tcPr>
            <w:tcW w:type="dxa" w:w="653"/>
            <w:tcMar>
              <w:top w:type="dxa" w:w="40"/>
              <w:left w:type="dxa" w:w="80"/>
              <w:bottom w:type="dxa" w:w="40"/>
              <w:right w:type="dxa" w:w="80"/>
            </w:tcMar>
          </w:tcPr>
          <w:p>
            <w:r>
              <w:rPr>
                <w:b w:val="false"/>
                <w:bCs w:val="false"/>
                <w:sz w:val="18"/>
                <w:szCs w:val="18"/>
              </w:rPr>
              <w:t xml:space="preserve">1</w:t>
            </w:r>
          </w:p>
        </w:tc>
        <w:tc>
          <w:tcPr>
            <w:tcW w:type="dxa" w:w="1415"/>
            <w:tcMar>
              <w:top w:type="dxa" w:w="40"/>
              <w:left w:type="dxa" w:w="80"/>
              <w:bottom w:type="dxa" w:w="40"/>
              <w:right w:type="dxa" w:w="80"/>
            </w:tcMar>
          </w:tcPr>
          <w:p>
            <w:r>
              <w:rPr>
                <w:b w:val="false"/>
                <w:bCs w:val="false"/>
                <w:sz w:val="18"/>
                <w:szCs w:val="18"/>
              </w:rPr>
              <w:t xml:space="preserve">0.0</w:t>
            </w:r>
          </w:p>
        </w:tc>
        <w:tc>
          <w:tcPr>
            <w:tcW w:type="dxa" w:w="1088"/>
            <w:tcMar>
              <w:top w:type="dxa" w:w="40"/>
              <w:left w:type="dxa" w:w="80"/>
              <w:bottom w:type="dxa" w:w="40"/>
              <w:right w:type="dxa" w:w="80"/>
            </w:tcMar>
          </w:tcPr>
          <w:p>
            <w:r>
              <w:rPr>
                <w:b w:val="false"/>
                <w:bCs w:val="false"/>
                <w:sz w:val="18"/>
                <w:szCs w:val="18"/>
              </w:rPr>
              <w:t xml:space="preserve">1.000</w:t>
            </w:r>
          </w:p>
        </w:tc>
        <w:tc>
          <w:tcPr>
            <w:tcW w:type="dxa" w:w="1198"/>
            <w:tcMar>
              <w:top w:type="dxa" w:w="40"/>
              <w:left w:type="dxa" w:w="80"/>
              <w:bottom w:type="dxa" w:w="40"/>
              <w:right w:type="dxa" w:w="80"/>
            </w:tcMar>
          </w:tcPr>
          <w:p>
            <w:r>
              <w:rPr>
                <w:b w:val="false"/>
                <w:bCs w:val="false"/>
                <w:sz w:val="18"/>
                <w:szCs w:val="18"/>
              </w:rPr>
              <w:t xml:space="preserve">0.000</w:t>
            </w:r>
          </w:p>
        </w:tc>
      </w:tr>
      <w:tr>
        <w:tc>
          <w:tcPr>
            <w:tcW w:type="dxa" w:w="3265"/>
            <w:tcMar>
              <w:top w:type="dxa" w:w="40"/>
              <w:left w:type="dxa" w:w="80"/>
              <w:bottom w:type="dxa" w:w="40"/>
              <w:right w:type="dxa" w:w="80"/>
            </w:tcMar>
          </w:tcPr>
          <w:p>
            <w:r>
              <w:rPr>
                <w:b w:val="false"/>
                <w:bCs w:val="false"/>
                <w:sz w:val="18"/>
                <w:szCs w:val="18"/>
              </w:rPr>
              <w:t xml:space="preserve">Health at 1000 cycles</w:t>
            </w:r>
          </w:p>
        </w:tc>
        <w:tc>
          <w:tcPr>
            <w:tcW w:type="dxa" w:w="1741"/>
            <w:tcMar>
              <w:top w:type="dxa" w:w="40"/>
              <w:left w:type="dxa" w:w="80"/>
              <w:bottom w:type="dxa" w:w="40"/>
              <w:right w:type="dxa" w:w="80"/>
            </w:tcMar>
          </w:tcPr>
          <w:p>
            <w:r>
              <w:rPr>
                <w:b w:val="false"/>
                <w:bCs w:val="false"/>
                <w:sz w:val="18"/>
                <w:szCs w:val="18"/>
              </w:rPr>
              <w:t xml:space="preserve">rate:method</w:t>
            </w:r>
          </w:p>
        </w:tc>
        <w:tc>
          <w:tcPr>
            <w:tcW w:type="dxa" w:w="653"/>
            <w:tcMar>
              <w:top w:type="dxa" w:w="40"/>
              <w:left w:type="dxa" w:w="80"/>
              <w:bottom w:type="dxa" w:w="40"/>
              <w:right w:type="dxa" w:w="80"/>
            </w:tcMar>
          </w:tcPr>
          <w:p>
            <w:r>
              <w:rPr>
                <w:b w:val="false"/>
                <w:bCs w:val="false"/>
                <w:sz w:val="18"/>
                <w:szCs w:val="18"/>
              </w:rPr>
              <w:t xml:space="preserve">2</w:t>
            </w:r>
          </w:p>
        </w:tc>
        <w:tc>
          <w:tcPr>
            <w:tcW w:type="dxa" w:w="1415"/>
            <w:tcMar>
              <w:top w:type="dxa" w:w="40"/>
              <w:left w:type="dxa" w:w="80"/>
              <w:bottom w:type="dxa" w:w="40"/>
              <w:right w:type="dxa" w:w="80"/>
            </w:tcMar>
          </w:tcPr>
          <w:p>
            <w:r>
              <w:rPr>
                <w:b w:val="false"/>
                <w:bCs w:val="false"/>
                <w:sz w:val="18"/>
                <w:szCs w:val="18"/>
              </w:rPr>
              <w:t xml:space="preserve">0.0</w:t>
            </w:r>
          </w:p>
        </w:tc>
        <w:tc>
          <w:tcPr>
            <w:tcW w:type="dxa" w:w="1088"/>
            <w:tcMar>
              <w:top w:type="dxa" w:w="40"/>
              <w:left w:type="dxa" w:w="80"/>
              <w:bottom w:type="dxa" w:w="40"/>
              <w:right w:type="dxa" w:w="80"/>
            </w:tcMar>
          </w:tcPr>
          <w:p>
            <w:r>
              <w:rPr>
                <w:b w:val="false"/>
                <w:bCs w:val="false"/>
                <w:sz w:val="18"/>
                <w:szCs w:val="18"/>
              </w:rPr>
              <w:t xml:space="preserve">1.000</w:t>
            </w:r>
          </w:p>
        </w:tc>
        <w:tc>
          <w:tcPr>
            <w:tcW w:type="dxa" w:w="1198"/>
            <w:tcMar>
              <w:top w:type="dxa" w:w="40"/>
              <w:left w:type="dxa" w:w="80"/>
              <w:bottom w:type="dxa" w:w="40"/>
              <w:right w:type="dxa" w:w="80"/>
            </w:tcMar>
          </w:tcPr>
          <w:p>
            <w:r>
              <w:rPr>
                <w:b w:val="false"/>
                <w:bCs w:val="false"/>
                <w:sz w:val="18"/>
                <w:szCs w:val="18"/>
              </w:rPr>
              <w:t xml:space="preserve">0.000</w:t>
            </w:r>
          </w:p>
        </w:tc>
      </w:tr>
    </w:tbl>
    <w:p>
      <w:pPr>
        <w:spacing w:after="200"/>
      </w:pPr>
      <w:r>
        <w:rPr>
          <w:i/>
          <w:iCs/>
          <w:color w:val="555555"/>
          <w:sz w:val="18"/>
          <w:szCs w:val="18"/>
        </w:rPr>
        <w:t xml:space="preserve">A term with F = 0 has no verified effect in the model and was therefore not simulated; it is not evidence of no effect.</w:t>
      </w:r>
    </w:p>
    <w:p>
      <w:pPr>
        <w:spacing w:after="120"/>
      </w:pPr>
      <w:r>
        <w:rPr>
          <w:b/>
          <w:bCs/>
        </w:rPr>
        <w:t xml:space="preserve">Table 2.</w:t>
      </w:r>
      <w:r>
        <w:t xml:space="preserve"> Regression of log(cycles to 80% health) on all factors with two-way interactions (OLS, n = 36,000; R² = 0.459, adjusted R² = 0.459, residual SD = 0.471).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24"/>
        <w:gridCol w:w="1432"/>
        <w:gridCol w:w="1101"/>
        <w:gridCol w:w="2202"/>
        <w:gridCol w:w="1101"/>
      </w:tblGrid>
      <w:tr>
        <w:trPr>
          <w:tblHeader/>
        </w:trPr>
        <w:tc>
          <w:tcPr>
            <w:tcW w:type="dxa" w:w="3524"/>
            <w:shd w:fill="E8EEF7" w:color="auto" w:val="clear"/>
            <w:tcMar>
              <w:top w:type="dxa" w:w="40"/>
              <w:left w:type="dxa" w:w="80"/>
              <w:bottom w:type="dxa" w:w="40"/>
              <w:right w:type="dxa" w:w="80"/>
            </w:tcMar>
          </w:tcPr>
          <w:p>
            <w:r>
              <w:rPr>
                <w:b/>
                <w:bCs/>
                <w:sz w:val="18"/>
                <w:szCs w:val="18"/>
              </w:rPr>
              <w:t xml:space="preserve">Term (baseline 1C, 25 °C, 100%, CC-CV)</w:t>
            </w:r>
          </w:p>
        </w:tc>
        <w:tc>
          <w:tcPr>
            <w:tcW w:type="dxa" w:w="1432"/>
            <w:shd w:fill="E8EEF7" w:color="auto" w:val="clear"/>
            <w:tcMar>
              <w:top w:type="dxa" w:w="40"/>
              <w:left w:type="dxa" w:w="80"/>
              <w:bottom w:type="dxa" w:w="40"/>
              <w:right w:type="dxa" w:w="80"/>
            </w:tcMar>
          </w:tcPr>
          <w:p>
            <w:r>
              <w:rPr>
                <w:b/>
                <w:bCs/>
                <w:sz w:val="18"/>
                <w:szCs w:val="18"/>
              </w:rPr>
              <w:t xml:space="preserve">Estimate</w:t>
            </w:r>
          </w:p>
        </w:tc>
        <w:tc>
          <w:tcPr>
            <w:tcW w:type="dxa" w:w="1101"/>
            <w:shd w:fill="E8EEF7" w:color="auto" w:val="clear"/>
            <w:tcMar>
              <w:top w:type="dxa" w:w="40"/>
              <w:left w:type="dxa" w:w="80"/>
              <w:bottom w:type="dxa" w:w="40"/>
              <w:right w:type="dxa" w:w="80"/>
            </w:tcMar>
          </w:tcPr>
          <w:p>
            <w:r>
              <w:rPr>
                <w:b/>
                <w:bCs/>
                <w:sz w:val="18"/>
                <w:szCs w:val="18"/>
              </w:rPr>
              <w:t xml:space="preserve">SE</w:t>
            </w:r>
          </w:p>
        </w:tc>
        <w:tc>
          <w:tcPr>
            <w:tcW w:type="dxa" w:w="2202"/>
            <w:shd w:fill="E8EEF7" w:color="auto" w:val="clear"/>
            <w:tcMar>
              <w:top w:type="dxa" w:w="40"/>
              <w:left w:type="dxa" w:w="80"/>
              <w:bottom w:type="dxa" w:w="40"/>
              <w:right w:type="dxa" w:w="80"/>
            </w:tcMar>
          </w:tcPr>
          <w:p>
            <w:r>
              <w:rPr>
                <w:b/>
                <w:bCs/>
                <w:sz w:val="18"/>
                <w:szCs w:val="18"/>
              </w:rPr>
              <w:t xml:space="preserve">95% CI</w:t>
            </w:r>
          </w:p>
        </w:tc>
        <w:tc>
          <w:tcPr>
            <w:tcW w:type="dxa" w:w="1101"/>
            <w:shd w:fill="E8EEF7" w:color="auto" w:val="clear"/>
            <w:tcMar>
              <w:top w:type="dxa" w:w="40"/>
              <w:left w:type="dxa" w:w="80"/>
              <w:bottom w:type="dxa" w:w="40"/>
              <w:right w:type="dxa" w:w="80"/>
            </w:tcMar>
          </w:tcPr>
          <w:p>
            <w:r>
              <w:rPr>
                <w:b/>
                <w:bCs/>
                <w:sz w:val="18"/>
                <w:szCs w:val="18"/>
              </w:rPr>
              <w:t xml:space="preserve">p</w:t>
            </w:r>
          </w:p>
        </w:tc>
      </w:tr>
      <w:tr>
        <w:tc>
          <w:tcPr>
            <w:tcW w:type="dxa" w:w="3524"/>
            <w:tcMar>
              <w:top w:type="dxa" w:w="40"/>
              <w:left w:type="dxa" w:w="80"/>
              <w:bottom w:type="dxa" w:w="40"/>
              <w:right w:type="dxa" w:w="80"/>
            </w:tcMar>
          </w:tcPr>
          <w:p>
            <w:r>
              <w:rPr>
                <w:b w:val="false"/>
                <w:bCs w:val="false"/>
                <w:sz w:val="18"/>
                <w:szCs w:val="18"/>
              </w:rPr>
              <w:t xml:space="preserve">Intercept</w:t>
            </w:r>
          </w:p>
        </w:tc>
        <w:tc>
          <w:tcPr>
            <w:tcW w:type="dxa" w:w="1432"/>
            <w:tcMar>
              <w:top w:type="dxa" w:w="40"/>
              <w:left w:type="dxa" w:w="80"/>
              <w:bottom w:type="dxa" w:w="40"/>
              <w:right w:type="dxa" w:w="80"/>
            </w:tcMar>
          </w:tcPr>
          <w:p>
            <w:r>
              <w:rPr>
                <w:b w:val="false"/>
                <w:bCs w:val="false"/>
                <w:sz w:val="18"/>
                <w:szCs w:val="18"/>
              </w:rPr>
              <w:t xml:space="preserve">8.4903</w:t>
            </w:r>
          </w:p>
        </w:tc>
        <w:tc>
          <w:tcPr>
            <w:tcW w:type="dxa" w:w="1101"/>
            <w:tcMar>
              <w:top w:type="dxa" w:w="40"/>
              <w:left w:type="dxa" w:w="80"/>
              <w:bottom w:type="dxa" w:w="40"/>
              <w:right w:type="dxa" w:w="80"/>
            </w:tcMar>
          </w:tcPr>
          <w:p>
            <w:r>
              <w:rPr>
                <w:b w:val="false"/>
                <w:bCs w:val="false"/>
                <w:sz w:val="18"/>
                <w:szCs w:val="18"/>
              </w:rPr>
              <w:t xml:space="preserve">0.0111</w:t>
            </w:r>
          </w:p>
        </w:tc>
        <w:tc>
          <w:tcPr>
            <w:tcW w:type="dxa" w:w="2202"/>
            <w:tcMar>
              <w:top w:type="dxa" w:w="40"/>
              <w:left w:type="dxa" w:w="80"/>
              <w:bottom w:type="dxa" w:w="40"/>
              <w:right w:type="dxa" w:w="80"/>
            </w:tcMar>
          </w:tcPr>
          <w:p>
            <w:r>
              <w:rPr>
                <w:b w:val="false"/>
                <w:bCs w:val="false"/>
                <w:sz w:val="18"/>
                <w:szCs w:val="18"/>
              </w:rPr>
              <w:t xml:space="preserve">[8.4686, 8.5121]</w:t>
            </w:r>
          </w:p>
        </w:tc>
        <w:tc>
          <w:tcPr>
            <w:tcW w:type="dxa" w:w="1101"/>
            <w:tcMar>
              <w:top w:type="dxa" w:w="40"/>
              <w:left w:type="dxa" w:w="80"/>
              <w:bottom w:type="dxa" w:w="40"/>
              <w:right w:type="dxa" w:w="80"/>
            </w:tcMar>
          </w:tcPr>
          <w:p>
            <w:r>
              <w:rPr>
                <w:b w:val="false"/>
                <w:bCs w:val="false"/>
                <w:sz w:val="18"/>
                <w:szCs w:val="18"/>
              </w:rPr>
              <w:t xml:space="preserve">&lt; 0.001</w:t>
            </w:r>
          </w:p>
        </w:tc>
      </w:tr>
      <w:tr>
        <w:tc>
          <w:tcPr>
            <w:tcW w:type="dxa" w:w="3524"/>
            <w:tcMar>
              <w:top w:type="dxa" w:w="40"/>
              <w:left w:type="dxa" w:w="80"/>
              <w:bottom w:type="dxa" w:w="40"/>
              <w:right w:type="dxa" w:w="80"/>
            </w:tcMar>
          </w:tcPr>
          <w:p>
            <w:r>
              <w:rPr>
                <w:b w:val="false"/>
                <w:bCs w:val="false"/>
                <w:sz w:val="18"/>
                <w:szCs w:val="18"/>
              </w:rPr>
              <w:t xml:space="preserve">rate[2.0]</w:t>
            </w:r>
          </w:p>
        </w:tc>
        <w:tc>
          <w:tcPr>
            <w:tcW w:type="dxa" w:w="1432"/>
            <w:tcMar>
              <w:top w:type="dxa" w:w="40"/>
              <w:left w:type="dxa" w:w="80"/>
              <w:bottom w:type="dxa" w:w="40"/>
              <w:right w:type="dxa" w:w="80"/>
            </w:tcMar>
          </w:tcPr>
          <w:p>
            <w:r>
              <w:rPr>
                <w:b w:val="false"/>
                <w:bCs w:val="false"/>
                <w:sz w:val="18"/>
                <w:szCs w:val="18"/>
              </w:rPr>
              <w:t xml:space="preserve">-0.5309</w:t>
            </w:r>
          </w:p>
        </w:tc>
        <w:tc>
          <w:tcPr>
            <w:tcW w:type="dxa" w:w="1101"/>
            <w:tcMar>
              <w:top w:type="dxa" w:w="40"/>
              <w:left w:type="dxa" w:w="80"/>
              <w:bottom w:type="dxa" w:w="40"/>
              <w:right w:type="dxa" w:w="80"/>
            </w:tcMar>
          </w:tcPr>
          <w:p>
            <w:r>
              <w:rPr>
                <w:b w:val="false"/>
                <w:bCs w:val="false"/>
                <w:sz w:val="18"/>
                <w:szCs w:val="18"/>
              </w:rPr>
              <w:t xml:space="preserve">0.0136</w:t>
            </w:r>
          </w:p>
        </w:tc>
        <w:tc>
          <w:tcPr>
            <w:tcW w:type="dxa" w:w="2202"/>
            <w:tcMar>
              <w:top w:type="dxa" w:w="40"/>
              <w:left w:type="dxa" w:w="80"/>
              <w:bottom w:type="dxa" w:w="40"/>
              <w:right w:type="dxa" w:w="80"/>
            </w:tcMar>
          </w:tcPr>
          <w:p>
            <w:r>
              <w:rPr>
                <w:b w:val="false"/>
                <w:bCs w:val="false"/>
                <w:sz w:val="18"/>
                <w:szCs w:val="18"/>
              </w:rPr>
              <w:t xml:space="preserve">[-0.5575, -0.5043]</w:t>
            </w:r>
          </w:p>
        </w:tc>
        <w:tc>
          <w:tcPr>
            <w:tcW w:type="dxa" w:w="1101"/>
            <w:tcMar>
              <w:top w:type="dxa" w:w="40"/>
              <w:left w:type="dxa" w:w="80"/>
              <w:bottom w:type="dxa" w:w="40"/>
              <w:right w:type="dxa" w:w="80"/>
            </w:tcMar>
          </w:tcPr>
          <w:p>
            <w:r>
              <w:rPr>
                <w:b w:val="false"/>
                <w:bCs w:val="false"/>
                <w:sz w:val="18"/>
                <w:szCs w:val="18"/>
              </w:rPr>
              <w:t xml:space="preserve">&lt; 0.001</w:t>
            </w:r>
          </w:p>
        </w:tc>
      </w:tr>
      <w:tr>
        <w:tc>
          <w:tcPr>
            <w:tcW w:type="dxa" w:w="3524"/>
            <w:tcMar>
              <w:top w:type="dxa" w:w="40"/>
              <w:left w:type="dxa" w:w="80"/>
              <w:bottom w:type="dxa" w:w="40"/>
              <w:right w:type="dxa" w:w="80"/>
            </w:tcMar>
          </w:tcPr>
          <w:p>
            <w:r>
              <w:rPr>
                <w:b w:val="false"/>
                <w:bCs w:val="false"/>
                <w:sz w:val="18"/>
                <w:szCs w:val="18"/>
              </w:rPr>
              <w:t xml:space="preserve">rate[3.0]</w:t>
            </w:r>
          </w:p>
        </w:tc>
        <w:tc>
          <w:tcPr>
            <w:tcW w:type="dxa" w:w="1432"/>
            <w:tcMar>
              <w:top w:type="dxa" w:w="40"/>
              <w:left w:type="dxa" w:w="80"/>
              <w:bottom w:type="dxa" w:w="40"/>
              <w:right w:type="dxa" w:w="80"/>
            </w:tcMar>
          </w:tcPr>
          <w:p>
            <w:r>
              <w:rPr>
                <w:b w:val="false"/>
                <w:bCs w:val="false"/>
                <w:sz w:val="18"/>
                <w:szCs w:val="18"/>
              </w:rPr>
              <w:t xml:space="preserve">-1.0618</w:t>
            </w:r>
          </w:p>
        </w:tc>
        <w:tc>
          <w:tcPr>
            <w:tcW w:type="dxa" w:w="1101"/>
            <w:tcMar>
              <w:top w:type="dxa" w:w="40"/>
              <w:left w:type="dxa" w:w="80"/>
              <w:bottom w:type="dxa" w:w="40"/>
              <w:right w:type="dxa" w:w="80"/>
            </w:tcMar>
          </w:tcPr>
          <w:p>
            <w:r>
              <w:rPr>
                <w:b w:val="false"/>
                <w:bCs w:val="false"/>
                <w:sz w:val="18"/>
                <w:szCs w:val="18"/>
              </w:rPr>
              <w:t xml:space="preserve">0.0136</w:t>
            </w:r>
          </w:p>
        </w:tc>
        <w:tc>
          <w:tcPr>
            <w:tcW w:type="dxa" w:w="2202"/>
            <w:tcMar>
              <w:top w:type="dxa" w:w="40"/>
              <w:left w:type="dxa" w:w="80"/>
              <w:bottom w:type="dxa" w:w="40"/>
              <w:right w:type="dxa" w:w="80"/>
            </w:tcMar>
          </w:tcPr>
          <w:p>
            <w:r>
              <w:rPr>
                <w:b w:val="false"/>
                <w:bCs w:val="false"/>
                <w:sz w:val="18"/>
                <w:szCs w:val="18"/>
              </w:rPr>
              <w:t xml:space="preserve">[-1.0884, -1.0352]</w:t>
            </w:r>
          </w:p>
        </w:tc>
        <w:tc>
          <w:tcPr>
            <w:tcW w:type="dxa" w:w="1101"/>
            <w:tcMar>
              <w:top w:type="dxa" w:w="40"/>
              <w:left w:type="dxa" w:w="80"/>
              <w:bottom w:type="dxa" w:w="40"/>
              <w:right w:type="dxa" w:w="80"/>
            </w:tcMar>
          </w:tcPr>
          <w:p>
            <w:r>
              <w:rPr>
                <w:b w:val="false"/>
                <w:bCs w:val="false"/>
                <w:sz w:val="18"/>
                <w:szCs w:val="18"/>
              </w:rPr>
              <w:t xml:space="preserve">&lt; 0.001</w:t>
            </w:r>
          </w:p>
        </w:tc>
      </w:tr>
      <w:tr>
        <w:tc>
          <w:tcPr>
            <w:tcW w:type="dxa" w:w="3524"/>
            <w:tcMar>
              <w:top w:type="dxa" w:w="40"/>
              <w:left w:type="dxa" w:w="80"/>
              <w:bottom w:type="dxa" w:w="40"/>
              <w:right w:type="dxa" w:w="80"/>
            </w:tcMar>
          </w:tcPr>
          <w:p>
            <w:r>
              <w:rPr>
                <w:b w:val="false"/>
                <w:bCs w:val="false"/>
                <w:sz w:val="18"/>
                <w:szCs w:val="18"/>
              </w:rPr>
              <w:t xml:space="preserve">ambient[10]</w:t>
            </w:r>
          </w:p>
        </w:tc>
        <w:tc>
          <w:tcPr>
            <w:tcW w:type="dxa" w:w="1432"/>
            <w:tcMar>
              <w:top w:type="dxa" w:w="40"/>
              <w:left w:type="dxa" w:w="80"/>
              <w:bottom w:type="dxa" w:w="40"/>
              <w:right w:type="dxa" w:w="80"/>
            </w:tcMar>
          </w:tcPr>
          <w:p>
            <w:r>
              <w:rPr>
                <w:b w:val="false"/>
                <w:bCs w:val="false"/>
                <w:sz w:val="18"/>
                <w:szCs w:val="18"/>
              </w:rPr>
              <w:t xml:space="preserve">0.0000</w:t>
            </w:r>
          </w:p>
        </w:tc>
        <w:tc>
          <w:tcPr>
            <w:tcW w:type="dxa" w:w="1101"/>
            <w:tcMar>
              <w:top w:type="dxa" w:w="40"/>
              <w:left w:type="dxa" w:w="80"/>
              <w:bottom w:type="dxa" w:w="40"/>
              <w:right w:type="dxa" w:w="80"/>
            </w:tcMar>
          </w:tcPr>
          <w:p>
            <w:r>
              <w:rPr>
                <w:b w:val="false"/>
                <w:bCs w:val="false"/>
                <w:sz w:val="18"/>
                <w:szCs w:val="18"/>
              </w:rPr>
              <w:t xml:space="preserve">0.0136</w:t>
            </w:r>
          </w:p>
        </w:tc>
        <w:tc>
          <w:tcPr>
            <w:tcW w:type="dxa" w:w="2202"/>
            <w:tcMar>
              <w:top w:type="dxa" w:w="40"/>
              <w:left w:type="dxa" w:w="80"/>
              <w:bottom w:type="dxa" w:w="40"/>
              <w:right w:type="dxa" w:w="80"/>
            </w:tcMar>
          </w:tcPr>
          <w:p>
            <w:r>
              <w:rPr>
                <w:b w:val="false"/>
                <w:bCs w:val="false"/>
                <w:sz w:val="18"/>
                <w:szCs w:val="18"/>
              </w:rPr>
              <w:t xml:space="preserve">[-0.0266, 0.0266]</w:t>
            </w:r>
          </w:p>
        </w:tc>
        <w:tc>
          <w:tcPr>
            <w:tcW w:type="dxa" w:w="1101"/>
            <w:tcMar>
              <w:top w:type="dxa" w:w="40"/>
              <w:left w:type="dxa" w:w="80"/>
              <w:bottom w:type="dxa" w:w="40"/>
              <w:right w:type="dxa" w:w="80"/>
            </w:tcMar>
          </w:tcPr>
          <w:p>
            <w:r>
              <w:rPr>
                <w:b w:val="false"/>
                <w:bCs w:val="false"/>
                <w:sz w:val="18"/>
                <w:szCs w:val="18"/>
              </w:rPr>
              <w:t xml:space="preserve">1.000</w:t>
            </w:r>
          </w:p>
        </w:tc>
      </w:tr>
      <w:tr>
        <w:tc>
          <w:tcPr>
            <w:tcW w:type="dxa" w:w="3524"/>
            <w:tcMar>
              <w:top w:type="dxa" w:w="40"/>
              <w:left w:type="dxa" w:w="80"/>
              <w:bottom w:type="dxa" w:w="40"/>
              <w:right w:type="dxa" w:w="80"/>
            </w:tcMar>
          </w:tcPr>
          <w:p>
            <w:r>
              <w:rPr>
                <w:b w:val="false"/>
                <w:bCs w:val="false"/>
                <w:sz w:val="18"/>
                <w:szCs w:val="18"/>
              </w:rPr>
              <w:t xml:space="preserve">ambient[40]</w:t>
            </w:r>
          </w:p>
        </w:tc>
        <w:tc>
          <w:tcPr>
            <w:tcW w:type="dxa" w:w="1432"/>
            <w:tcMar>
              <w:top w:type="dxa" w:w="40"/>
              <w:left w:type="dxa" w:w="80"/>
              <w:bottom w:type="dxa" w:w="40"/>
              <w:right w:type="dxa" w:w="80"/>
            </w:tcMar>
          </w:tcPr>
          <w:p>
            <w:r>
              <w:rPr>
                <w:b w:val="false"/>
                <w:bCs w:val="false"/>
                <w:sz w:val="18"/>
                <w:szCs w:val="18"/>
              </w:rPr>
              <w:t xml:space="preserve">0.0000</w:t>
            </w:r>
          </w:p>
        </w:tc>
        <w:tc>
          <w:tcPr>
            <w:tcW w:type="dxa" w:w="1101"/>
            <w:tcMar>
              <w:top w:type="dxa" w:w="40"/>
              <w:left w:type="dxa" w:w="80"/>
              <w:bottom w:type="dxa" w:w="40"/>
              <w:right w:type="dxa" w:w="80"/>
            </w:tcMar>
          </w:tcPr>
          <w:p>
            <w:r>
              <w:rPr>
                <w:b w:val="false"/>
                <w:bCs w:val="false"/>
                <w:sz w:val="18"/>
                <w:szCs w:val="18"/>
              </w:rPr>
              <w:t xml:space="preserve">0.0136</w:t>
            </w:r>
          </w:p>
        </w:tc>
        <w:tc>
          <w:tcPr>
            <w:tcW w:type="dxa" w:w="2202"/>
            <w:tcMar>
              <w:top w:type="dxa" w:w="40"/>
              <w:left w:type="dxa" w:w="80"/>
              <w:bottom w:type="dxa" w:w="40"/>
              <w:right w:type="dxa" w:w="80"/>
            </w:tcMar>
          </w:tcPr>
          <w:p>
            <w:r>
              <w:rPr>
                <w:b w:val="false"/>
                <w:bCs w:val="false"/>
                <w:sz w:val="18"/>
                <w:szCs w:val="18"/>
              </w:rPr>
              <w:t xml:space="preserve">[-0.0266, 0.0266]</w:t>
            </w:r>
          </w:p>
        </w:tc>
        <w:tc>
          <w:tcPr>
            <w:tcW w:type="dxa" w:w="1101"/>
            <w:tcMar>
              <w:top w:type="dxa" w:w="40"/>
              <w:left w:type="dxa" w:w="80"/>
              <w:bottom w:type="dxa" w:w="40"/>
              <w:right w:type="dxa" w:w="80"/>
            </w:tcMar>
          </w:tcPr>
          <w:p>
            <w:r>
              <w:rPr>
                <w:b w:val="false"/>
                <w:bCs w:val="false"/>
                <w:sz w:val="18"/>
                <w:szCs w:val="18"/>
              </w:rPr>
              <w:t xml:space="preserve">1.000</w:t>
            </w:r>
          </w:p>
        </w:tc>
      </w:tr>
      <w:tr>
        <w:tc>
          <w:tcPr>
            <w:tcW w:type="dxa" w:w="3524"/>
            <w:tcMar>
              <w:top w:type="dxa" w:w="40"/>
              <w:left w:type="dxa" w:w="80"/>
              <w:bottom w:type="dxa" w:w="40"/>
              <w:right w:type="dxa" w:w="80"/>
            </w:tcMar>
          </w:tcPr>
          <w:p>
            <w:r>
              <w:rPr>
                <w:b w:val="false"/>
                <w:bCs w:val="false"/>
                <w:sz w:val="18"/>
                <w:szCs w:val="18"/>
              </w:rPr>
              <w:t xml:space="preserve">limit[80]</w:t>
            </w:r>
          </w:p>
        </w:tc>
        <w:tc>
          <w:tcPr>
            <w:tcW w:type="dxa" w:w="1432"/>
            <w:tcMar>
              <w:top w:type="dxa" w:w="40"/>
              <w:left w:type="dxa" w:w="80"/>
              <w:bottom w:type="dxa" w:w="40"/>
              <w:right w:type="dxa" w:w="80"/>
            </w:tcMar>
          </w:tcPr>
          <w:p>
            <w:r>
              <w:rPr>
                <w:b w:val="false"/>
                <w:bCs w:val="false"/>
                <w:sz w:val="18"/>
                <w:szCs w:val="18"/>
              </w:rPr>
              <w:t xml:space="preserve">0.0000</w:t>
            </w:r>
          </w:p>
        </w:tc>
        <w:tc>
          <w:tcPr>
            <w:tcW w:type="dxa" w:w="1101"/>
            <w:tcMar>
              <w:top w:type="dxa" w:w="40"/>
              <w:left w:type="dxa" w:w="80"/>
              <w:bottom w:type="dxa" w:w="40"/>
              <w:right w:type="dxa" w:w="80"/>
            </w:tcMar>
          </w:tcPr>
          <w:p>
            <w:r>
              <w:rPr>
                <w:b w:val="false"/>
                <w:bCs w:val="false"/>
                <w:sz w:val="18"/>
                <w:szCs w:val="18"/>
              </w:rPr>
              <w:t xml:space="preserve">0.0122</w:t>
            </w:r>
          </w:p>
        </w:tc>
        <w:tc>
          <w:tcPr>
            <w:tcW w:type="dxa" w:w="2202"/>
            <w:tcMar>
              <w:top w:type="dxa" w:w="40"/>
              <w:left w:type="dxa" w:w="80"/>
              <w:bottom w:type="dxa" w:w="40"/>
              <w:right w:type="dxa" w:w="80"/>
            </w:tcMar>
          </w:tcPr>
          <w:p>
            <w:r>
              <w:rPr>
                <w:b w:val="false"/>
                <w:bCs w:val="false"/>
                <w:sz w:val="18"/>
                <w:szCs w:val="18"/>
              </w:rPr>
              <w:t xml:space="preserve">[-0.0238, 0.0238]</w:t>
            </w:r>
          </w:p>
        </w:tc>
        <w:tc>
          <w:tcPr>
            <w:tcW w:type="dxa" w:w="1101"/>
            <w:tcMar>
              <w:top w:type="dxa" w:w="40"/>
              <w:left w:type="dxa" w:w="80"/>
              <w:bottom w:type="dxa" w:w="40"/>
              <w:right w:type="dxa" w:w="80"/>
            </w:tcMar>
          </w:tcPr>
          <w:p>
            <w:r>
              <w:rPr>
                <w:b w:val="false"/>
                <w:bCs w:val="false"/>
                <w:sz w:val="18"/>
                <w:szCs w:val="18"/>
              </w:rPr>
              <w:t xml:space="preserve">1.000</w:t>
            </w:r>
          </w:p>
        </w:tc>
      </w:tr>
      <w:tr>
        <w:tc>
          <w:tcPr>
            <w:tcW w:type="dxa" w:w="3524"/>
            <w:tcMar>
              <w:top w:type="dxa" w:w="40"/>
              <w:left w:type="dxa" w:w="80"/>
              <w:bottom w:type="dxa" w:w="40"/>
              <w:right w:type="dxa" w:w="80"/>
            </w:tcMar>
          </w:tcPr>
          <w:p>
            <w:r>
              <w:rPr>
                <w:b w:val="false"/>
                <w:bCs w:val="false"/>
                <w:sz w:val="18"/>
                <w:szCs w:val="18"/>
              </w:rPr>
              <w:t xml:space="preserve">method[MSCC]</w:t>
            </w:r>
          </w:p>
        </w:tc>
        <w:tc>
          <w:tcPr>
            <w:tcW w:type="dxa" w:w="1432"/>
            <w:tcMar>
              <w:top w:type="dxa" w:w="40"/>
              <w:left w:type="dxa" w:w="80"/>
              <w:bottom w:type="dxa" w:w="40"/>
              <w:right w:type="dxa" w:w="80"/>
            </w:tcMar>
          </w:tcPr>
          <w:p>
            <w:r>
              <w:rPr>
                <w:b w:val="false"/>
                <w:bCs w:val="false"/>
                <w:sz w:val="18"/>
                <w:szCs w:val="18"/>
              </w:rPr>
              <w:t xml:space="preserve">0.0000</w:t>
            </w:r>
          </w:p>
        </w:tc>
        <w:tc>
          <w:tcPr>
            <w:tcW w:type="dxa" w:w="1101"/>
            <w:tcMar>
              <w:top w:type="dxa" w:w="40"/>
              <w:left w:type="dxa" w:w="80"/>
              <w:bottom w:type="dxa" w:w="40"/>
              <w:right w:type="dxa" w:w="80"/>
            </w:tcMar>
          </w:tcPr>
          <w:p>
            <w:r>
              <w:rPr>
                <w:b w:val="false"/>
                <w:bCs w:val="false"/>
                <w:sz w:val="18"/>
                <w:szCs w:val="18"/>
              </w:rPr>
              <w:t xml:space="preserve">0.0122</w:t>
            </w:r>
          </w:p>
        </w:tc>
        <w:tc>
          <w:tcPr>
            <w:tcW w:type="dxa" w:w="2202"/>
            <w:tcMar>
              <w:top w:type="dxa" w:w="40"/>
              <w:left w:type="dxa" w:w="80"/>
              <w:bottom w:type="dxa" w:w="40"/>
              <w:right w:type="dxa" w:w="80"/>
            </w:tcMar>
          </w:tcPr>
          <w:p>
            <w:r>
              <w:rPr>
                <w:b w:val="false"/>
                <w:bCs w:val="false"/>
                <w:sz w:val="18"/>
                <w:szCs w:val="18"/>
              </w:rPr>
              <w:t xml:space="preserve">[-0.0238, 0.0238]</w:t>
            </w:r>
          </w:p>
        </w:tc>
        <w:tc>
          <w:tcPr>
            <w:tcW w:type="dxa" w:w="1101"/>
            <w:tcMar>
              <w:top w:type="dxa" w:w="40"/>
              <w:left w:type="dxa" w:w="80"/>
              <w:bottom w:type="dxa" w:w="40"/>
              <w:right w:type="dxa" w:w="80"/>
            </w:tcMar>
          </w:tcPr>
          <w:p>
            <w:r>
              <w:rPr>
                <w:b w:val="false"/>
                <w:bCs w:val="false"/>
                <w:sz w:val="18"/>
                <w:szCs w:val="18"/>
              </w:rPr>
              <w:t xml:space="preserve">1.000</w:t>
            </w:r>
          </w:p>
        </w:tc>
      </w:tr>
      <w:tr>
        <w:tc>
          <w:tcPr>
            <w:tcW w:type="dxa" w:w="3524"/>
            <w:tcMar>
              <w:top w:type="dxa" w:w="40"/>
              <w:left w:type="dxa" w:w="80"/>
              <w:bottom w:type="dxa" w:w="40"/>
              <w:right w:type="dxa" w:w="80"/>
            </w:tcMar>
          </w:tcPr>
          <w:p>
            <w:r>
              <w:rPr>
                <w:b w:val="false"/>
                <w:bCs w:val="false"/>
                <w:sz w:val="18"/>
                <w:szCs w:val="18"/>
              </w:rPr>
              <w:t xml:space="preserve">13 two-way interactions</w:t>
            </w:r>
          </w:p>
        </w:tc>
        <w:tc>
          <w:tcPr>
            <w:tcW w:type="dxa" w:w="1432"/>
            <w:tcMar>
              <w:top w:type="dxa" w:w="40"/>
              <w:left w:type="dxa" w:w="80"/>
              <w:bottom w:type="dxa" w:w="40"/>
              <w:right w:type="dxa" w:w="80"/>
            </w:tcMar>
          </w:tcPr>
          <w:p>
            <w:r>
              <w:rPr>
                <w:b w:val="false"/>
                <w:bCs w:val="false"/>
                <w:sz w:val="18"/>
                <w:szCs w:val="18"/>
              </w:rPr>
              <w:t xml:space="preserve">all |b| ≤ 1.0e-14</w:t>
            </w:r>
          </w:p>
        </w:tc>
        <w:tc>
          <w:tcPr>
            <w:tcW w:type="dxa" w:w="1101"/>
            <w:tcMar>
              <w:top w:type="dxa" w:w="40"/>
              <w:left w:type="dxa" w:w="80"/>
              <w:bottom w:type="dxa" w:w="40"/>
              <w:right w:type="dxa" w:w="80"/>
            </w:tcMar>
          </w:tcPr>
          <w:p>
            <w:r>
              <w:rPr>
                <w:b w:val="false"/>
                <w:bCs w:val="false"/>
                <w:sz w:val="18"/>
                <w:szCs w:val="18"/>
              </w:rPr>
              <w:t xml:space="preserve">0.010–0.015</w:t>
            </w:r>
          </w:p>
        </w:tc>
        <w:tc>
          <w:tcPr>
            <w:tcW w:type="dxa" w:w="2202"/>
            <w:tcMar>
              <w:top w:type="dxa" w:w="40"/>
              <w:left w:type="dxa" w:w="80"/>
              <w:bottom w:type="dxa" w:w="40"/>
              <w:right w:type="dxa" w:w="80"/>
            </w:tcMar>
          </w:tcPr>
          <w:p>
            <w:r>
              <w:rPr>
                <w:b w:val="false"/>
                <w:bCs w:val="false"/>
                <w:sz w:val="18"/>
                <w:szCs w:val="18"/>
              </w:rPr>
              <w:t xml:space="preserve">each CI contains 0</w:t>
            </w:r>
          </w:p>
        </w:tc>
        <w:tc>
          <w:tcPr>
            <w:tcW w:type="dxa" w:w="1101"/>
            <w:tcMar>
              <w:top w:type="dxa" w:w="40"/>
              <w:left w:type="dxa" w:w="80"/>
              <w:bottom w:type="dxa" w:w="40"/>
              <w:right w:type="dxa" w:w="80"/>
            </w:tcMar>
          </w:tcPr>
          <w:p>
            <w:r>
              <w:rPr>
                <w:b w:val="false"/>
                <w:bCs w:val="false"/>
                <w:sz w:val="18"/>
                <w:szCs w:val="18"/>
              </w:rPr>
              <w:t xml:space="preserve">all = 1.000</w:t>
            </w:r>
          </w:p>
        </w:tc>
      </w:tr>
    </w:tbl>
    <w:p>
      <w:pPr>
        <w:spacing w:after="200"/>
      </w:pPr>
      <w:r>
        <w:rPr>
          <w:i/>
          <w:iCs/>
          <w:color w:val="555555"/>
          <w:sz w:val="18"/>
          <w:szCs w:val="18"/>
        </w:rPr>
        <w:t xml:space="preserve">Residuals are left-skewed (skew −0.97, excess kurtosis 1.66), as expected when life is Weibull-distributed; coefficient CIs use the normal-theory standard errors.</w:t>
      </w:r>
    </w:p>
    <w:p>
      <w:pPr>
        <w:spacing w:after="120"/>
      </w:pPr>
      <w:r>
        <w:rPr>
          <w:b/>
          <w:bCs/>
        </w:rPr>
        <w:t xml:space="preserve">Table 3.</w:t>
      </w:r>
      <w:r>
        <w:t xml:space="preserve"> Practical charging strategies at 3C and 25 °C: Weibull reliability of simulated life, and the change in median minutes to 80% from a paired bootstrap (2,000 resamples).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99"/>
        <w:gridCol w:w="1400"/>
        <w:gridCol w:w="1575"/>
        <w:gridCol w:w="787"/>
        <w:gridCol w:w="787"/>
        <w:gridCol w:w="787"/>
        <w:gridCol w:w="1925"/>
      </w:tblGrid>
      <w:tr>
        <w:trPr>
          <w:tblHeader/>
        </w:trPr>
        <w:tc>
          <w:tcPr>
            <w:tcW w:type="dxa" w:w="2099"/>
            <w:shd w:fill="E8EEF7" w:color="auto" w:val="clear"/>
            <w:tcMar>
              <w:top w:type="dxa" w:w="40"/>
              <w:left w:type="dxa" w:w="80"/>
              <w:bottom w:type="dxa" w:w="40"/>
              <w:right w:type="dxa" w:w="80"/>
            </w:tcMar>
          </w:tcPr>
          <w:p>
            <w:r>
              <w:rPr>
                <w:b/>
                <w:bCs/>
                <w:sz w:val="18"/>
                <w:szCs w:val="18"/>
              </w:rPr>
              <w:t xml:space="preserve">Strategy (25 °C)</w:t>
            </w:r>
          </w:p>
        </w:tc>
        <w:tc>
          <w:tcPr>
            <w:tcW w:type="dxa" w:w="1400"/>
            <w:shd w:fill="E8EEF7" w:color="auto" w:val="clear"/>
            <w:tcMar>
              <w:top w:type="dxa" w:w="40"/>
              <w:left w:type="dxa" w:w="80"/>
              <w:bottom w:type="dxa" w:w="40"/>
              <w:right w:type="dxa" w:w="80"/>
            </w:tcMar>
          </w:tcPr>
          <w:p>
            <w:r>
              <w:rPr>
                <w:b/>
                <w:bCs/>
                <w:sz w:val="18"/>
                <w:szCs w:val="18"/>
              </w:rPr>
              <w:t xml:space="preserve">Weibull β [95% CI]</w:t>
            </w:r>
          </w:p>
        </w:tc>
        <w:tc>
          <w:tcPr>
            <w:tcW w:type="dxa" w:w="1575"/>
            <w:shd w:fill="E8EEF7" w:color="auto" w:val="clear"/>
            <w:tcMar>
              <w:top w:type="dxa" w:w="40"/>
              <w:left w:type="dxa" w:w="80"/>
              <w:bottom w:type="dxa" w:w="40"/>
              <w:right w:type="dxa" w:w="80"/>
            </w:tcMar>
          </w:tcPr>
          <w:p>
            <w:r>
              <w:rPr>
                <w:b/>
                <w:bCs/>
                <w:sz w:val="18"/>
                <w:szCs w:val="18"/>
              </w:rPr>
              <w:t xml:space="preserve">Weibull η, cycles [95% CI]</w:t>
            </w:r>
          </w:p>
        </w:tc>
        <w:tc>
          <w:tcPr>
            <w:tcW w:type="dxa" w:w="787"/>
            <w:shd w:fill="E8EEF7" w:color="auto" w:val="clear"/>
            <w:tcMar>
              <w:top w:type="dxa" w:w="40"/>
              <w:left w:type="dxa" w:w="80"/>
              <w:bottom w:type="dxa" w:w="40"/>
              <w:right w:type="dxa" w:w="80"/>
            </w:tcMar>
          </w:tcPr>
          <w:p>
            <w:r>
              <w:rPr>
                <w:b/>
                <w:bCs/>
                <w:sz w:val="18"/>
                <w:szCs w:val="18"/>
              </w:rPr>
              <w:t xml:space="preserve">MTTF</w:t>
            </w:r>
          </w:p>
        </w:tc>
        <w:tc>
          <w:tcPr>
            <w:tcW w:type="dxa" w:w="787"/>
            <w:shd w:fill="E8EEF7" w:color="auto" w:val="clear"/>
            <w:tcMar>
              <w:top w:type="dxa" w:w="40"/>
              <w:left w:type="dxa" w:w="80"/>
              <w:bottom w:type="dxa" w:w="40"/>
              <w:right w:type="dxa" w:w="80"/>
            </w:tcMar>
          </w:tcPr>
          <w:p>
            <w:r>
              <w:rPr>
                <w:b/>
                <w:bCs/>
                <w:sz w:val="18"/>
                <w:szCs w:val="18"/>
              </w:rPr>
              <w:t xml:space="preserve">R(500)</w:t>
            </w:r>
          </w:p>
        </w:tc>
        <w:tc>
          <w:tcPr>
            <w:tcW w:type="dxa" w:w="787"/>
            <w:shd w:fill="E8EEF7" w:color="auto" w:val="clear"/>
            <w:tcMar>
              <w:top w:type="dxa" w:w="40"/>
              <w:left w:type="dxa" w:w="80"/>
              <w:bottom w:type="dxa" w:w="40"/>
              <w:right w:type="dxa" w:w="80"/>
            </w:tcMar>
          </w:tcPr>
          <w:p>
            <w:r>
              <w:rPr>
                <w:b/>
                <w:bCs/>
                <w:sz w:val="18"/>
                <w:szCs w:val="18"/>
              </w:rPr>
              <w:t xml:space="preserve">R(1000)</w:t>
            </w:r>
          </w:p>
        </w:tc>
        <w:tc>
          <w:tcPr>
            <w:tcW w:type="dxa" w:w="1925"/>
            <w:shd w:fill="E8EEF7" w:color="auto" w:val="clear"/>
            <w:tcMar>
              <w:top w:type="dxa" w:w="40"/>
              <w:left w:type="dxa" w:w="80"/>
              <w:bottom w:type="dxa" w:w="40"/>
              <w:right w:type="dxa" w:w="80"/>
            </w:tcMar>
          </w:tcPr>
          <w:p>
            <w:r>
              <w:rPr>
                <w:b/>
                <w:bCs/>
                <w:sz w:val="18"/>
                <w:szCs w:val="18"/>
              </w:rPr>
              <w:t xml:space="preserve">Δ median min to 80% vs normal [95% CI]</w:t>
            </w:r>
          </w:p>
        </w:tc>
      </w:tr>
      <w:tr>
        <w:tc>
          <w:tcPr>
            <w:tcW w:type="dxa" w:w="2099"/>
            <w:tcMar>
              <w:top w:type="dxa" w:w="40"/>
              <w:left w:type="dxa" w:w="80"/>
              <w:bottom w:type="dxa" w:w="40"/>
              <w:right w:type="dxa" w:w="80"/>
            </w:tcMar>
          </w:tcPr>
          <w:p>
            <w:r>
              <w:rPr>
                <w:b w:val="false"/>
                <w:bCs w:val="false"/>
                <w:sz w:val="18"/>
                <w:szCs w:val="18"/>
              </w:rPr>
              <w:t xml:space="preserve">Normal fast (3C, CC-CV, 100%)</w:t>
            </w:r>
          </w:p>
        </w:tc>
        <w:tc>
          <w:tcPr>
            <w:tcW w:type="dxa" w:w="1400"/>
            <w:tcMar>
              <w:top w:type="dxa" w:w="40"/>
              <w:left w:type="dxa" w:w="80"/>
              <w:bottom w:type="dxa" w:w="40"/>
              <w:right w:type="dxa" w:w="80"/>
            </w:tcMar>
          </w:tcPr>
          <w:p>
            <w:r>
              <w:rPr>
                <w:b w:val="false"/>
                <w:bCs w:val="false"/>
                <w:sz w:val="18"/>
                <w:szCs w:val="18"/>
              </w:rPr>
              <w:t xml:space="preserve">2.63 [2.51, 2.76]</w:t>
            </w:r>
          </w:p>
        </w:tc>
        <w:tc>
          <w:tcPr>
            <w:tcW w:type="dxa" w:w="1575"/>
            <w:tcMar>
              <w:top w:type="dxa" w:w="40"/>
              <w:left w:type="dxa" w:w="80"/>
              <w:bottom w:type="dxa" w:w="40"/>
              <w:right w:type="dxa" w:w="80"/>
            </w:tcMar>
          </w:tcPr>
          <w:p>
            <w:r>
              <w:rPr>
                <w:b w:val="false"/>
                <w:bCs w:val="false"/>
                <w:sz w:val="18"/>
                <w:szCs w:val="18"/>
              </w:rPr>
              <w:t xml:space="preserve">2088 [2037, 2140]</w:t>
            </w:r>
          </w:p>
        </w:tc>
        <w:tc>
          <w:tcPr>
            <w:tcW w:type="dxa" w:w="787"/>
            <w:tcMar>
              <w:top w:type="dxa" w:w="40"/>
              <w:left w:type="dxa" w:w="80"/>
              <w:bottom w:type="dxa" w:w="40"/>
              <w:right w:type="dxa" w:w="80"/>
            </w:tcMar>
          </w:tcPr>
          <w:p>
            <w:r>
              <w:rPr>
                <w:b w:val="false"/>
                <w:bCs w:val="false"/>
                <w:sz w:val="18"/>
                <w:szCs w:val="18"/>
              </w:rPr>
              <w:t xml:space="preserve">1855</w:t>
            </w:r>
          </w:p>
        </w:tc>
        <w:tc>
          <w:tcPr>
            <w:tcW w:type="dxa" w:w="787"/>
            <w:tcMar>
              <w:top w:type="dxa" w:w="40"/>
              <w:left w:type="dxa" w:w="80"/>
              <w:bottom w:type="dxa" w:w="40"/>
              <w:right w:type="dxa" w:w="80"/>
            </w:tcMar>
          </w:tcPr>
          <w:p>
            <w:r>
              <w:rPr>
                <w:b w:val="false"/>
                <w:bCs w:val="false"/>
                <w:sz w:val="18"/>
                <w:szCs w:val="18"/>
              </w:rPr>
              <w:t xml:space="preserve">0.977</w:t>
            </w:r>
          </w:p>
        </w:tc>
        <w:tc>
          <w:tcPr>
            <w:tcW w:type="dxa" w:w="787"/>
            <w:tcMar>
              <w:top w:type="dxa" w:w="40"/>
              <w:left w:type="dxa" w:w="80"/>
              <w:bottom w:type="dxa" w:w="40"/>
              <w:right w:type="dxa" w:w="80"/>
            </w:tcMar>
          </w:tcPr>
          <w:p>
            <w:r>
              <w:rPr>
                <w:b w:val="false"/>
                <w:bCs w:val="false"/>
                <w:sz w:val="18"/>
                <w:szCs w:val="18"/>
              </w:rPr>
              <w:t xml:space="preserve">0.866</w:t>
            </w:r>
          </w:p>
        </w:tc>
        <w:tc>
          <w:tcPr>
            <w:tcW w:type="dxa" w:w="1925"/>
            <w:tcMar>
              <w:top w:type="dxa" w:w="40"/>
              <w:left w:type="dxa" w:w="80"/>
              <w:bottom w:type="dxa" w:w="40"/>
              <w:right w:type="dxa" w:w="80"/>
            </w:tcMar>
          </w:tcPr>
          <w:p>
            <w:r>
              <w:rPr>
                <w:b w:val="false"/>
                <w:bCs w:val="false"/>
                <w:sz w:val="18"/>
                <w:szCs w:val="18"/>
              </w:rPr>
              <w:t xml:space="preserve">reference</w:t>
            </w:r>
          </w:p>
        </w:tc>
      </w:tr>
      <w:tr>
        <w:tc>
          <w:tcPr>
            <w:tcW w:type="dxa" w:w="2099"/>
            <w:tcMar>
              <w:top w:type="dxa" w:w="40"/>
              <w:left w:type="dxa" w:w="80"/>
              <w:bottom w:type="dxa" w:w="40"/>
              <w:right w:type="dxa" w:w="80"/>
            </w:tcMar>
          </w:tcPr>
          <w:p>
            <w:r>
              <w:rPr>
                <w:b w:val="false"/>
                <w:bCs w:val="false"/>
                <w:sz w:val="18"/>
                <w:szCs w:val="18"/>
              </w:rPr>
              <w:t xml:space="preserve">80% limit (3C, CC-CV)</w:t>
            </w:r>
          </w:p>
        </w:tc>
        <w:tc>
          <w:tcPr>
            <w:tcW w:type="dxa" w:w="1400"/>
            <w:tcMar>
              <w:top w:type="dxa" w:w="40"/>
              <w:left w:type="dxa" w:w="80"/>
              <w:bottom w:type="dxa" w:w="40"/>
              <w:right w:type="dxa" w:w="80"/>
            </w:tcMar>
          </w:tcPr>
          <w:p>
            <w:r>
              <w:rPr>
                <w:b w:val="false"/>
                <w:bCs w:val="false"/>
                <w:sz w:val="18"/>
                <w:szCs w:val="18"/>
              </w:rPr>
              <w:t xml:space="preserve">2.63 [2.51, 2.76]</w:t>
            </w:r>
          </w:p>
        </w:tc>
        <w:tc>
          <w:tcPr>
            <w:tcW w:type="dxa" w:w="1575"/>
            <w:tcMar>
              <w:top w:type="dxa" w:w="40"/>
              <w:left w:type="dxa" w:w="80"/>
              <w:bottom w:type="dxa" w:w="40"/>
              <w:right w:type="dxa" w:w="80"/>
            </w:tcMar>
          </w:tcPr>
          <w:p>
            <w:r>
              <w:rPr>
                <w:b w:val="false"/>
                <w:bCs w:val="false"/>
                <w:sz w:val="18"/>
                <w:szCs w:val="18"/>
              </w:rPr>
              <w:t xml:space="preserve">2088 [2037, 2140]</w:t>
            </w:r>
          </w:p>
        </w:tc>
        <w:tc>
          <w:tcPr>
            <w:tcW w:type="dxa" w:w="787"/>
            <w:tcMar>
              <w:top w:type="dxa" w:w="40"/>
              <w:left w:type="dxa" w:w="80"/>
              <w:bottom w:type="dxa" w:w="40"/>
              <w:right w:type="dxa" w:w="80"/>
            </w:tcMar>
          </w:tcPr>
          <w:p>
            <w:r>
              <w:rPr>
                <w:b w:val="false"/>
                <w:bCs w:val="false"/>
                <w:sz w:val="18"/>
                <w:szCs w:val="18"/>
              </w:rPr>
              <w:t xml:space="preserve">1855</w:t>
            </w:r>
          </w:p>
        </w:tc>
        <w:tc>
          <w:tcPr>
            <w:tcW w:type="dxa" w:w="787"/>
            <w:tcMar>
              <w:top w:type="dxa" w:w="40"/>
              <w:left w:type="dxa" w:w="80"/>
              <w:bottom w:type="dxa" w:w="40"/>
              <w:right w:type="dxa" w:w="80"/>
            </w:tcMar>
          </w:tcPr>
          <w:p>
            <w:r>
              <w:rPr>
                <w:b w:val="false"/>
                <w:bCs w:val="false"/>
                <w:sz w:val="18"/>
                <w:szCs w:val="18"/>
              </w:rPr>
              <w:t xml:space="preserve">0.977</w:t>
            </w:r>
          </w:p>
        </w:tc>
        <w:tc>
          <w:tcPr>
            <w:tcW w:type="dxa" w:w="787"/>
            <w:tcMar>
              <w:top w:type="dxa" w:w="40"/>
              <w:left w:type="dxa" w:w="80"/>
              <w:bottom w:type="dxa" w:w="40"/>
              <w:right w:type="dxa" w:w="80"/>
            </w:tcMar>
          </w:tcPr>
          <w:p>
            <w:r>
              <w:rPr>
                <w:b w:val="false"/>
                <w:bCs w:val="false"/>
                <w:sz w:val="18"/>
                <w:szCs w:val="18"/>
              </w:rPr>
              <w:t xml:space="preserve">0.866</w:t>
            </w:r>
          </w:p>
        </w:tc>
        <w:tc>
          <w:tcPr>
            <w:tcW w:type="dxa" w:w="1925"/>
            <w:tcMar>
              <w:top w:type="dxa" w:w="40"/>
              <w:left w:type="dxa" w:w="80"/>
              <w:bottom w:type="dxa" w:w="40"/>
              <w:right w:type="dxa" w:w="80"/>
            </w:tcMar>
          </w:tcPr>
          <w:p>
            <w:r>
              <w:rPr>
                <w:b w:val="false"/>
                <w:bCs w:val="false"/>
                <w:sz w:val="18"/>
                <w:szCs w:val="18"/>
              </w:rPr>
              <w:t xml:space="preserve">0.00 [0.00, 0.00]</w:t>
            </w:r>
          </w:p>
        </w:tc>
      </w:tr>
      <w:tr>
        <w:tc>
          <w:tcPr>
            <w:tcW w:type="dxa" w:w="2099"/>
            <w:tcMar>
              <w:top w:type="dxa" w:w="40"/>
              <w:left w:type="dxa" w:w="80"/>
              <w:bottom w:type="dxa" w:w="40"/>
              <w:right w:type="dxa" w:w="80"/>
            </w:tcMar>
          </w:tcPr>
          <w:p>
            <w:r>
              <w:rPr>
                <w:b w:val="false"/>
                <w:bCs w:val="false"/>
                <w:sz w:val="18"/>
                <w:szCs w:val="18"/>
              </w:rPr>
              <w:t xml:space="preserve">Multistage (3C, 100%)</w:t>
            </w:r>
          </w:p>
        </w:tc>
        <w:tc>
          <w:tcPr>
            <w:tcW w:type="dxa" w:w="1400"/>
            <w:tcMar>
              <w:top w:type="dxa" w:w="40"/>
              <w:left w:type="dxa" w:w="80"/>
              <w:bottom w:type="dxa" w:w="40"/>
              <w:right w:type="dxa" w:w="80"/>
            </w:tcMar>
          </w:tcPr>
          <w:p>
            <w:r>
              <w:rPr>
                <w:b w:val="false"/>
                <w:bCs w:val="false"/>
                <w:sz w:val="18"/>
                <w:szCs w:val="18"/>
              </w:rPr>
              <w:t xml:space="preserve">2.63 [2.51, 2.76]</w:t>
            </w:r>
          </w:p>
        </w:tc>
        <w:tc>
          <w:tcPr>
            <w:tcW w:type="dxa" w:w="1575"/>
            <w:tcMar>
              <w:top w:type="dxa" w:w="40"/>
              <w:left w:type="dxa" w:w="80"/>
              <w:bottom w:type="dxa" w:w="40"/>
              <w:right w:type="dxa" w:w="80"/>
            </w:tcMar>
          </w:tcPr>
          <w:p>
            <w:r>
              <w:rPr>
                <w:b w:val="false"/>
                <w:bCs w:val="false"/>
                <w:sz w:val="18"/>
                <w:szCs w:val="18"/>
              </w:rPr>
              <w:t xml:space="preserve">2088 [2037, 2140]</w:t>
            </w:r>
          </w:p>
        </w:tc>
        <w:tc>
          <w:tcPr>
            <w:tcW w:type="dxa" w:w="787"/>
            <w:tcMar>
              <w:top w:type="dxa" w:w="40"/>
              <w:left w:type="dxa" w:w="80"/>
              <w:bottom w:type="dxa" w:w="40"/>
              <w:right w:type="dxa" w:w="80"/>
            </w:tcMar>
          </w:tcPr>
          <w:p>
            <w:r>
              <w:rPr>
                <w:b w:val="false"/>
                <w:bCs w:val="false"/>
                <w:sz w:val="18"/>
                <w:szCs w:val="18"/>
              </w:rPr>
              <w:t xml:space="preserve">1855</w:t>
            </w:r>
          </w:p>
        </w:tc>
        <w:tc>
          <w:tcPr>
            <w:tcW w:type="dxa" w:w="787"/>
            <w:tcMar>
              <w:top w:type="dxa" w:w="40"/>
              <w:left w:type="dxa" w:w="80"/>
              <w:bottom w:type="dxa" w:w="40"/>
              <w:right w:type="dxa" w:w="80"/>
            </w:tcMar>
          </w:tcPr>
          <w:p>
            <w:r>
              <w:rPr>
                <w:b w:val="false"/>
                <w:bCs w:val="false"/>
                <w:sz w:val="18"/>
                <w:szCs w:val="18"/>
              </w:rPr>
              <w:t xml:space="preserve">0.977</w:t>
            </w:r>
          </w:p>
        </w:tc>
        <w:tc>
          <w:tcPr>
            <w:tcW w:type="dxa" w:w="787"/>
            <w:tcMar>
              <w:top w:type="dxa" w:w="40"/>
              <w:left w:type="dxa" w:w="80"/>
              <w:bottom w:type="dxa" w:w="40"/>
              <w:right w:type="dxa" w:w="80"/>
            </w:tcMar>
          </w:tcPr>
          <w:p>
            <w:r>
              <w:rPr>
                <w:b w:val="false"/>
                <w:bCs w:val="false"/>
                <w:sz w:val="18"/>
                <w:szCs w:val="18"/>
              </w:rPr>
              <w:t xml:space="preserve">0.866</w:t>
            </w:r>
          </w:p>
        </w:tc>
        <w:tc>
          <w:tcPr>
            <w:tcW w:type="dxa" w:w="1925"/>
            <w:tcMar>
              <w:top w:type="dxa" w:w="40"/>
              <w:left w:type="dxa" w:w="80"/>
              <w:bottom w:type="dxa" w:w="40"/>
              <w:right w:type="dxa" w:w="80"/>
            </w:tcMar>
          </w:tcPr>
          <w:p>
            <w:r>
              <w:rPr>
                <w:b w:val="false"/>
                <w:bCs w:val="false"/>
                <w:sz w:val="18"/>
                <w:szCs w:val="18"/>
              </w:rPr>
              <w:t xml:space="preserve">-1.75 [-1.76, -1.74]</w:t>
            </w:r>
          </w:p>
        </w:tc>
      </w:tr>
    </w:tbl>
    <w:p>
      <w:pPr>
        <w:spacing w:before="120"/>
        <w:jc w:val="center"/>
      </w:pPr>
      <w:r>
        <w:drawing>
          <wp:inline distT="0" distB="0" distL="0" distR="0">
            <wp:extent cx="54864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486400" cy="3409950"/>
                    </a:xfrm>
                    <a:prstGeom prst="rect">
                      <a:avLst/>
                    </a:prstGeom>
                  </pic:spPr>
                </pic:pic>
              </a:graphicData>
            </a:graphic>
          </wp:inline>
        </w:drawing>
      </w:r>
    </w:p>
    <w:p>
      <w:pPr>
        <w:spacing w:after="200"/>
        <w:jc w:val="left"/>
        <w:rPr>
          <w:sz w:val="18"/>
          <w:szCs w:val="18"/>
        </w:rPr>
      </w:pPr>
      <w:r>
        <w:rPr>
          <w:b/>
          <w:bCs/>
        </w:rPr>
        <w:t xml:space="preserve">Figure 1.</w:t>
      </w:r>
      <w:r>
        <w:t xml:space="preserve"> Cycles to 80% health by charge rate (boxes: interquartile range; whiskers: 5th–95th percentile). Dashed lines mark Apple's 500- and 1,000-cycle ratings; the simulated lives sit far above them (validation gap).</w:t>
      </w:r>
    </w:p>
    <w:p>
      <w:pPr>
        <w:spacing w:before="120"/>
        <w:jc w:val="center"/>
      </w:pPr>
      <w:r>
        <w:drawing>
          <wp:inline distT="0" distB="0" distL="0" distR="0">
            <wp:extent cx="54864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09950"/>
                    </a:xfrm>
                    <a:prstGeom prst="rect">
                      <a:avLst/>
                    </a:prstGeom>
                  </pic:spPr>
                </pic:pic>
              </a:graphicData>
            </a:graphic>
          </wp:inline>
        </w:drawing>
      </w:r>
    </w:p>
    <w:p>
      <w:pPr>
        <w:spacing w:after="200"/>
        <w:jc w:val="left"/>
        <w:rPr>
          <w:sz w:val="18"/>
          <w:szCs w:val="18"/>
        </w:rPr>
      </w:pPr>
      <w:r>
        <w:rPr>
          <w:b/>
          <w:bCs/>
        </w:rPr>
        <w:t xml:space="preserve">Figure 2.</w:t>
      </w:r>
      <w:r>
        <w:t xml:space="preserve"> Median life by charge rate, with the rate slope at its point estimate (dot) and at its 95% CI bounds (bar).</w:t>
      </w:r>
    </w:p>
    <w:p>
      <w:pPr>
        <w:spacing w:before="120"/>
        <w:jc w:val="center"/>
      </w:pPr>
      <w:r>
        <w:drawing>
          <wp:inline distT="0" distB="0" distL="0" distR="0">
            <wp:extent cx="54864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409950"/>
                    </a:xfrm>
                    <a:prstGeom prst="rect">
                      <a:avLst/>
                    </a:prstGeom>
                  </pic:spPr>
                </pic:pic>
              </a:graphicData>
            </a:graphic>
          </wp:inline>
        </w:drawing>
      </w:r>
    </w:p>
    <w:p>
      <w:pPr>
        <w:spacing w:after="200"/>
        <w:jc w:val="left"/>
        <w:rPr>
          <w:sz w:val="18"/>
          <w:szCs w:val="18"/>
        </w:rPr>
      </w:pPr>
      <w:r>
        <w:rPr>
          <w:b/>
          <w:bCs/>
        </w:rPr>
        <w:t xml:space="preserve">Figure 3.</w:t>
      </w:r>
      <w:r>
        <w:t xml:space="preserve"> Mean minutes to 80% charge by rate and method.</w:t>
      </w:r>
    </w:p>
    <w:p>
      <w:pPr>
        <w:spacing w:before="120"/>
        <w:jc w:val="center"/>
      </w:pPr>
      <w:r>
        <w:drawing>
          <wp:inline distT="0" distB="0" distL="0" distR="0">
            <wp:extent cx="54864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409950"/>
                    </a:xfrm>
                    <a:prstGeom prst="rect">
                      <a:avLst/>
                    </a:prstGeom>
                  </pic:spPr>
                </pic:pic>
              </a:graphicData>
            </a:graphic>
          </wp:inline>
        </w:drawing>
      </w:r>
    </w:p>
    <w:p>
      <w:pPr>
        <w:spacing w:after="200"/>
        <w:jc w:val="left"/>
        <w:rPr>
          <w:sz w:val="18"/>
          <w:szCs w:val="18"/>
        </w:rPr>
      </w:pPr>
      <w:r>
        <w:rPr>
          <w:b/>
          <w:bCs/>
        </w:rPr>
        <w:t xml:space="preserve">Figure 4.</w:t>
      </w:r>
      <w:r>
        <w:t xml:space="preserve"> Individuals chart on health at 500 cycles, multistage strategy (3C, 25 °C). Red points fall beyond the 3σ limits; LSL = 0.80.</w:t>
      </w:r>
    </w:p>
    <w:p>
      <w:pPr>
        <w:pStyle w:val="Heading1"/>
        <w:spacing w:before="240" w:after="120"/>
      </w:pPr>
      <w:r>
        <w:t xml:space="preserve">References</w:t>
      </w:r>
    </w:p>
    <w:p>
      <w:pPr>
        <w:spacing w:after="100"/>
        <w:ind w:left="720" w:hanging="720"/>
      </w:pPr>
      <w:r>
        <w:t xml:space="preserve">Apple Inc. (n.d.-a). </w:t>
      </w:r>
      <w:r>
        <w:rPr>
          <w:i/>
          <w:iCs/>
        </w:rPr>
        <w:t xml:space="preserve">Battery service and recycling</w:t>
      </w:r>
      <w:r>
        <w:t xml:space="preserve">. Retrieved October 28, 2026, from https://www.apple.com/batteries/service-and-recycling/</w:t>
      </w:r>
    </w:p>
    <w:p>
      <w:pPr>
        <w:spacing w:after="100"/>
        <w:ind w:left="720" w:hanging="720"/>
      </w:pPr>
      <w:r>
        <w:t xml:space="preserve">Diao, W., Saxena, S., &amp; Pecht, M. (2019). Accelerated cycle life testing and capacity degradation modeling of LiCoO2-graphite cells. </w:t>
      </w:r>
      <w:r>
        <w:rPr>
          <w:i/>
          <w:iCs/>
        </w:rPr>
        <w:t xml:space="preserve">Journal of Power Sources, 435</w:t>
      </w:r>
      <w:r>
        <w:t xml:space="preserve">, 226830. https://doi.org/10.1016/j.jpowsour.2019.226830</w:t>
      </w:r>
    </w:p>
    <w:p>
      <w:pPr>
        <w:spacing w:after="100"/>
        <w:ind w:left="720" w:hanging="720"/>
      </w:pPr>
      <w:r>
        <w:t xml:space="preserve">Severson, K. A., Attia, P. M., Jin, N., Perkins, N., Jiang, B., Yang, Z., Chen, M. H., Aykol, M., Herring, P. K., Fraggedakis, D., Bazant, M. Z., Harris, S. J., Chueh, W. C., &amp; Braatz, R. D. (2019). Data-driven prediction of battery cycle life before capacity degradation. </w:t>
      </w:r>
      <w:r>
        <w:rPr>
          <w:i/>
          <w:iCs/>
        </w:rPr>
        <w:t xml:space="preserve">Nature Energy, 4</w:t>
      </w:r>
      <w:r>
        <w:t xml:space="preserve">(5), 383–391. https://doi.org/10.1038/s41560-019-0356-8</w:t>
      </w:r>
    </w:p>
    <w:p>
      <w:pPr>
        <w:spacing w:after="100"/>
        <w:ind w:left="720" w:hanging="720"/>
      </w:pPr>
      <w:r>
        <w:t xml:space="preserve">Tahir, M. U., Sangwongwanich, A., Stroe, D.-I., &amp; Blaabjerg, F. (2024). Multi-objective optimization for multi-stage constant current charging for Li-ion batteries. </w:t>
      </w:r>
      <w:r>
        <w:rPr>
          <w:i/>
          <w:iCs/>
        </w:rPr>
        <w:t xml:space="preserve">Journal of Energy Storage, 86</w:t>
      </w:r>
      <w:r>
        <w:t xml:space="preserve">(Part A), 111313. https://doi.org/10.1016/j.est.2024.111313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597"/>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88d072c50172dc2875dee2ff323801ed6d5d22e.png"/><Relationship Id="rId7" Type="http://schemas.openxmlformats.org/officeDocument/2006/relationships/image" Target="media/2f4d0fe9b3d4f9665e1e66d4f04ee223e65ecce4.png"/><Relationship Id="rId8" Type="http://schemas.openxmlformats.org/officeDocument/2006/relationships/image" Target="media/1443cabaa35d40e98f270e00bd3ec78cd0e06ec1.png"/><Relationship Id="rId9" Type="http://schemas.openxmlformats.org/officeDocument/2006/relationships/image" Target="media/f9fdabc1c7e7e8d18aaddc0511c926b712ff935e.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Methods and Results</dc:title>
  <dc:creator>Battery fast-charging project team</dc:creator>
  <cp:lastModifiedBy>Un-named</cp:lastModifiedBy>
  <cp:revision>1</cp:revision>
  <dcterms:created xsi:type="dcterms:W3CDTF">2026-10-29T03:09:06.887Z</dcterms:created>
  <dcterms:modified xsi:type="dcterms:W3CDTF">2026-10-29T03:09:06.891Z</dcterms:modified>
</cp:coreProperties>
</file>

<file path=docProps/custom.xml><?xml version="1.0" encoding="utf-8"?>
<Properties xmlns="http://schemas.openxmlformats.org/officeDocument/2006/custom-properties" xmlns:vt="http://schemas.openxmlformats.org/officeDocument/2006/docPropsVTypes"/>
</file>