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jc w:val="center"/>
      </w:pPr>
      <w:r>
        <w:drawing>
          <wp:inline xmlns:a="http://schemas.openxmlformats.org/drawingml/2006/main" xmlns:pic="http://schemas.openxmlformats.org/drawingml/2006/picture">
            <wp:extent cx="3840480" cy="1304314"/>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840480" cy="1304314"/>
                    </a:xfrm>
                    <a:prstGeom prst="rect"/>
                  </pic:spPr>
                </pic:pic>
              </a:graphicData>
            </a:graphic>
          </wp:inline>
        </w:drawing>
      </w:r>
    </w:p>
    <w:p>
      <w:pPr>
        <w:spacing w:before="80" w:after="80"/>
        <w:jc w:val="center"/>
      </w:pPr>
      <w:r>
        <w:rPr>
          <w:rFonts w:ascii="Times New Roman" w:hAnsi="Times New Roman"/>
          <w:b/>
          <w:sz w:val="30"/>
        </w:rPr>
        <w:t>A REPORT ON</w:t>
      </w:r>
    </w:p>
    <w:p>
      <w:pPr>
        <w:spacing w:before="120" w:after="320"/>
        <w:jc w:val="center"/>
      </w:pPr>
      <w:r>
        <w:rPr>
          <w:rFonts w:ascii="Times New Roman" w:hAnsi="Times New Roman"/>
          <w:b/>
          <w:sz w:val="30"/>
        </w:rPr>
        <w:t>ADVANCED GENERATIVE AI AND ITS APPLICATIONS IN DATA SCIENCE AND SOFTWARE ENGINEERING</w:t>
      </w:r>
    </w:p>
    <w:p>
      <w:pPr>
        <w:spacing w:before="120" w:after="80"/>
        <w:jc w:val="center"/>
      </w:pPr>
      <w:r>
        <w:rPr>
          <w:rFonts w:ascii="Times New Roman" w:hAnsi="Times New Roman"/>
          <w:sz w:val="26"/>
        </w:rPr>
        <w:t>submitted by</w:t>
      </w:r>
    </w:p>
    <w:p>
      <w:pPr>
        <w:spacing w:before="80" w:after="320"/>
        <w:jc w:val="center"/>
      </w:pPr>
      <w:r>
        <w:rPr>
          <w:rFonts w:ascii="Times New Roman" w:hAnsi="Times New Roman"/>
          <w:b/>
          <w:sz w:val="28"/>
        </w:rPr>
        <w:t>DIVYANSHU SHARMA (23BDS1155)</w:t>
      </w:r>
    </w:p>
    <w:p>
      <w:pPr>
        <w:spacing w:before="120" w:after="60"/>
        <w:jc w:val="center"/>
      </w:pPr>
      <w:r>
        <w:rPr>
          <w:rFonts w:ascii="Times New Roman" w:hAnsi="Times New Roman"/>
          <w:sz w:val="26"/>
        </w:rPr>
        <w:t>in partial fulfilment for the award of</w:t>
      </w:r>
    </w:p>
    <w:p>
      <w:pPr>
        <w:spacing w:before="60" w:after="320"/>
        <w:jc w:val="center"/>
      </w:pPr>
      <w:r>
        <w:rPr>
          <w:rFonts w:ascii="Times New Roman" w:hAnsi="Times New Roman"/>
          <w:b/>
          <w:sz w:val="28"/>
        </w:rPr>
        <w:t>B. Tech. Computer Science and Engineering</w:t>
        <w:br/>
        <w:t>(Specialization in Data Science)</w:t>
      </w:r>
    </w:p>
    <w:p>
      <w:pPr>
        <w:spacing w:before="280" w:after="60"/>
        <w:jc w:val="center"/>
      </w:pPr>
      <w:r>
        <w:rPr>
          <w:rFonts w:ascii="Times New Roman" w:hAnsi="Times New Roman"/>
          <w:b/>
          <w:sz w:val="28"/>
        </w:rPr>
        <w:t>School of Computer Science and Engineering</w:t>
        <w:br/>
        <w:t>Vellore Institute of Technology, Chennai</w:t>
      </w:r>
    </w:p>
    <w:p>
      <w:pPr>
        <w:spacing w:before="240" w:after="0"/>
        <w:jc w:val="center"/>
      </w:pPr>
      <w:r>
        <w:rPr>
          <w:rFonts w:ascii="Times New Roman" w:hAnsi="Times New Roman"/>
          <w:b/>
          <w:sz w:val="26"/>
        </w:rPr>
        <w:t>October - 2026</w:t>
      </w:r>
    </w:p>
    <w:p>
      <w:r>
        <w:br w:type="page"/>
      </w:r>
    </w:p>
    <w:p>
      <w:pPr>
        <w:spacing w:before="80" w:after="160"/>
        <w:jc w:val="center"/>
      </w:pPr>
      <w:r>
        <w:drawing>
          <wp:inline xmlns:a="http://schemas.openxmlformats.org/drawingml/2006/main" xmlns:pic="http://schemas.openxmlformats.org/drawingml/2006/picture">
            <wp:extent cx="3474720" cy="1180094"/>
            <wp:docPr id="2" name="Picture 2"/>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474720" cy="1180094"/>
                    </a:xfrm>
                    <a:prstGeom prst="rect"/>
                  </pic:spPr>
                </pic:pic>
              </a:graphicData>
            </a:graphic>
          </wp:inline>
        </w:drawing>
      </w:r>
    </w:p>
    <w:p>
      <w:pPr>
        <w:spacing w:before="40" w:after="120"/>
        <w:jc w:val="center"/>
      </w:pPr>
      <w:r>
        <w:rPr>
          <w:rFonts w:ascii="Times New Roman" w:hAnsi="Times New Roman"/>
          <w:b/>
          <w:sz w:val="30"/>
        </w:rPr>
        <w:t>School of Computer Science and Engineering</w:t>
      </w:r>
    </w:p>
    <w:p>
      <w:pPr>
        <w:keepNext/>
        <w:spacing w:before="160" w:after="120"/>
        <w:jc w:val="center"/>
      </w:pPr>
      <w:r>
        <w:rPr>
          <w:rFonts w:ascii="Times New Roman" w:hAnsi="Times New Roman"/>
          <w:b/>
          <w:sz w:val="32"/>
        </w:rPr>
        <w:t>DECLARATION</w:t>
      </w:r>
    </w:p>
    <w:p>
      <w:pPr>
        <w:spacing w:before="280" w:after="400" w:line="324" w:lineRule="auto"/>
        <w:jc w:val="both"/>
      </w:pPr>
      <w:r>
        <w:rPr>
          <w:rFonts w:ascii="Times New Roman" w:hAnsi="Times New Roman"/>
          <w:sz w:val="24"/>
        </w:rPr>
        <w:t>I hereby declare that the project entitled “ADVANCED GENERATIVE AI AND ITS APPLICATIONS IN DATA SCIENCE AND SOFTWARE ENGINEERING” submitted by me to the School of Computer Science and Engineering, Vellore Institute of Technology, Chennai Campus, Chennai 600127 in partial fulfilment of the requirements for the award of the degree of Bachelor of Technology in Computer Science and Engineering is a record of bonafide work carried out by me. I further declare that the work reported in this report has not been submitted and will not be submitted, either in part or in full, for the award of any other degree or diploma of this institute or of any other institute or university.</w:t>
      </w:r>
    </w:p>
    <w:p>
      <w:pPr>
        <w:spacing w:before="800" w:after="60"/>
      </w:pPr>
      <w:r>
        <w:rPr>
          <w:rFonts w:ascii="Times New Roman" w:hAnsi="Times New Roman"/>
          <w:sz w:val="24"/>
        </w:rPr>
        <w:t>Signature of the Candidate</w:t>
      </w:r>
    </w:p>
    <w:p>
      <w:pPr>
        <w:spacing w:before="60" w:after="400"/>
      </w:pPr>
      <w:r>
        <w:rPr>
          <w:rFonts w:ascii="Times New Roman" w:hAnsi="Times New Roman"/>
          <w:b/>
          <w:sz w:val="24"/>
        </w:rPr>
        <w:t>DIVYANSHU SHARMA (23BDS1155)</w:t>
      </w:r>
    </w:p>
    <w:p>
      <w:pPr>
        <w:spacing w:before="200" w:after="0"/>
      </w:pPr>
      <w:r>
        <w:rPr>
          <w:rFonts w:ascii="Times New Roman" w:hAnsi="Times New Roman"/>
          <w:sz w:val="24"/>
        </w:rPr>
        <w:t>Place: Chennai</w:t>
        <w:br/>
        <w:t>Date: 13-10-2026</w:t>
      </w:r>
    </w:p>
    <w:p>
      <w:r>
        <w:br w:type="page"/>
      </w:r>
    </w:p>
    <w:p>
      <w:pPr>
        <w:spacing w:before="80" w:after="160"/>
        <w:jc w:val="center"/>
      </w:pPr>
      <w:r>
        <w:drawing>
          <wp:inline xmlns:a="http://schemas.openxmlformats.org/drawingml/2006/main" xmlns:pic="http://schemas.openxmlformats.org/drawingml/2006/picture">
            <wp:extent cx="3474720" cy="1180094"/>
            <wp:docPr id="3" name="Picture 3"/>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474720" cy="1180094"/>
                    </a:xfrm>
                    <a:prstGeom prst="rect"/>
                  </pic:spPr>
                </pic:pic>
              </a:graphicData>
            </a:graphic>
          </wp:inline>
        </w:drawing>
      </w:r>
    </w:p>
    <w:p>
      <w:pPr>
        <w:spacing w:before="40" w:after="120"/>
        <w:jc w:val="center"/>
      </w:pPr>
      <w:r>
        <w:rPr>
          <w:rFonts w:ascii="Times New Roman" w:hAnsi="Times New Roman"/>
          <w:b/>
          <w:sz w:val="30"/>
        </w:rPr>
        <w:t>School of Computer Science and Engineering</w:t>
      </w:r>
    </w:p>
    <w:p>
      <w:pPr>
        <w:keepNext/>
        <w:spacing w:before="160" w:after="120"/>
        <w:jc w:val="center"/>
      </w:pPr>
      <w:r>
        <w:rPr>
          <w:rFonts w:ascii="Times New Roman" w:hAnsi="Times New Roman"/>
          <w:b/>
          <w:sz w:val="32"/>
        </w:rPr>
        <w:t>CERTIFICATE</w:t>
      </w:r>
    </w:p>
    <w:p>
      <w:pPr>
        <w:spacing w:before="280" w:after="600" w:line="324" w:lineRule="auto"/>
        <w:jc w:val="both"/>
      </w:pPr>
      <w:r>
        <w:rPr>
          <w:rFonts w:ascii="Times New Roman" w:hAnsi="Times New Roman"/>
          <w:sz w:val="24"/>
        </w:rPr>
        <w:t>The project report entitled “ADVANCED GENERATIVE AI AND ITS APPLICATIONS IN DATA SCIENCE AND SOFTWARE ENGINEERING” is prepared and submitted by Divyanshu Sharma (Register No: 23BDS1155). It has been found satisfactory in terms of scope, quality and presentation as partial fulfilment of the requirements for the award of the degree of Bachelor of Technology in Computer Science and Engineering in Vellore Institute of Technology, Chennai, India.</w:t>
      </w:r>
    </w:p>
    <w:p>
      <w:pPr>
        <w:spacing w:before="800" w:after="600"/>
      </w:pPr>
      <w:r>
        <w:rPr>
          <w:rFonts w:ascii="Times New Roman" w:hAnsi="Times New Roman"/>
          <w:b/>
          <w:sz w:val="24"/>
        </w:rPr>
        <w:t>Examined by:</w:t>
      </w:r>
    </w:p>
    <w:p>
      <w:pPr>
        <w:spacing w:before="200" w:after="0"/>
      </w:pPr>
      <w:r>
        <w:rPr>
          <w:rFonts w:ascii="Times New Roman" w:hAnsi="Times New Roman"/>
          <w:b/>
          <w:sz w:val="24"/>
        </w:rPr>
        <w:t>Examiner I</w:t>
        <w:tab/>
        <w:tab/>
        <w:tab/>
        <w:tab/>
        <w:tab/>
        <w:tab/>
        <w:tab/>
        <w:t>Examiner II</w:t>
      </w:r>
    </w:p>
    <w:p>
      <w:r>
        <w:br w:type="page"/>
      </w:r>
    </w:p>
    <w:p>
      <w:pPr>
        <w:keepNext/>
        <w:spacing w:before="120" w:after="80"/>
        <w:jc w:val="center"/>
      </w:pPr>
      <w:r>
        <w:rPr>
          <w:rFonts w:ascii="Times New Roman" w:hAnsi="Times New Roman"/>
          <w:b/>
          <w:sz w:val="32"/>
        </w:rPr>
        <w:t>INDUSTRY INTERNSHIP CERTIFICATE</w:t>
      </w:r>
    </w:p>
    <w:p>
      <w:pPr>
        <w:spacing w:before="40" w:after="80" w:line="288" w:lineRule="auto"/>
        <w:jc w:val="both"/>
      </w:pPr>
      <w:r>
        <w:rPr>
          <w:rFonts w:ascii="Times New Roman" w:hAnsi="Times New Roman"/>
          <w:sz w:val="24"/>
        </w:rPr>
        <w:t>This is to certify that Divyanshu Sharma (Register No: 23BDS1155) has completed the technical internship and corporate curriculum entitled “Advanced Generative AI” (Course Code: CEGENAI1IN) conducted by the IBM Career Education Program on ibmcep.cognitiveclass.ai, powered by IBM Developer Skills Network. Authorized by Mr. Jagadisha Bhat, Country Manager - IBM Technology Expert Labs, ISA, IBM India Pvt Ltd, on July 16, 2026.</w:t>
      </w:r>
    </w:p>
    <w:p>
      <w:pPr>
        <w:keepNext/>
        <w:spacing w:before="80" w:after="20"/>
        <w:jc w:val="center"/>
      </w:pPr>
      <w:r>
        <w:drawing>
          <wp:inline xmlns:a="http://schemas.openxmlformats.org/drawingml/2006/main" xmlns:pic="http://schemas.openxmlformats.org/drawingml/2006/picture">
            <wp:extent cx="5303520" cy="3778039"/>
            <wp:docPr id="4" name="Picture 4"/>
            <wp:cNvGraphicFramePr>
              <a:graphicFrameLocks noChangeAspect="1"/>
            </wp:cNvGraphicFramePr>
            <a:graphic>
              <a:graphicData uri="http://schemas.openxmlformats.org/drawingml/2006/picture">
                <pic:pic>
                  <pic:nvPicPr>
                    <pic:cNvPr id="0" name="cert_ibmce.png"/>
                    <pic:cNvPicPr/>
                  </pic:nvPicPr>
                  <pic:blipFill>
                    <a:blip r:embed="rId11"/>
                    <a:stretch>
                      <a:fillRect/>
                    </a:stretch>
                  </pic:blipFill>
                  <pic:spPr>
                    <a:xfrm>
                      <a:off x="0" y="0"/>
                      <a:ext cx="5303520" cy="3778039"/>
                    </a:xfrm>
                    <a:prstGeom prst="rect"/>
                  </pic:spPr>
                </pic:pic>
              </a:graphicData>
            </a:graphic>
          </wp:inline>
        </w:drawing>
      </w:r>
    </w:p>
    <w:p>
      <w:pPr>
        <w:keepNext/>
        <w:spacing w:before="20" w:after="120"/>
        <w:jc w:val="center"/>
      </w:pPr>
      <w:r>
        <w:rPr>
          <w:rFonts w:ascii="Times New Roman" w:hAnsi="Times New Roman"/>
          <w:i/>
          <w:sz w:val="21"/>
        </w:rPr>
        <w:t>Official Certificate of Merit from IBM Career Education Program</w:t>
      </w:r>
    </w:p>
    <w:p>
      <w:pPr>
        <w:spacing w:before="40" w:after="0" w:line="276" w:lineRule="auto"/>
        <w:jc w:val="both"/>
      </w:pPr>
      <w:r>
        <w:rPr>
          <w:rFonts w:ascii="Times New Roman" w:hAnsi="Times New Roman"/>
          <w:b/>
          <w:sz w:val="24"/>
        </w:rPr>
        <w:t xml:space="preserve">Credential URL: </w:t>
      </w:r>
      <w:r>
        <w:rPr>
          <w:rFonts w:ascii="Times New Roman" w:hAnsi="Times New Roman"/>
          <w:sz w:val="24"/>
        </w:rPr>
        <w:t>Validation URL: https://courses.ibmcep.cognitiveclass.ai/certificates/d3a570e88dc6474ba1f97f5321c5d887</w:t>
      </w:r>
    </w:p>
    <w:p>
      <w:r>
        <w:br w:type="page"/>
      </w:r>
    </w:p>
    <w:p>
      <w:pPr>
        <w:keepNext/>
        <w:spacing w:before="120" w:after="80"/>
        <w:jc w:val="center"/>
      </w:pPr>
      <w:r>
        <w:rPr>
          <w:rFonts w:ascii="Times New Roman" w:hAnsi="Times New Roman"/>
          <w:b/>
          <w:sz w:val="32"/>
        </w:rPr>
        <w:t>COURSE COMPLETION CERTIFICATE - ADROIT PROLEARN</w:t>
      </w:r>
    </w:p>
    <w:p>
      <w:pPr>
        <w:spacing w:before="40" w:after="80" w:line="288" w:lineRule="auto"/>
        <w:jc w:val="both"/>
      </w:pPr>
      <w:r>
        <w:rPr>
          <w:rFonts w:ascii="Times New Roman" w:hAnsi="Times New Roman"/>
          <w:sz w:val="24"/>
        </w:rPr>
        <w:t>This Certificate of Completion recognises that Divyanshu Sharma has successfully completed the web-based training program entitled “IBM - Advanced Generative AI” on July 21, 2026, conducted under the AdroIT Prolearn platform in collaboration with Vellore Institute of Technology. The credential carries the official Certificate ID: khfIPYurf6.</w:t>
      </w:r>
    </w:p>
    <w:p>
      <w:pPr>
        <w:keepNext/>
        <w:spacing w:before="80" w:after="20"/>
        <w:jc w:val="center"/>
      </w:pPr>
      <w:r>
        <w:drawing>
          <wp:inline xmlns:a="http://schemas.openxmlformats.org/drawingml/2006/main" xmlns:pic="http://schemas.openxmlformats.org/drawingml/2006/picture">
            <wp:extent cx="3233523" cy="4572000"/>
            <wp:docPr id="5" name="Picture 5"/>
            <wp:cNvGraphicFramePr>
              <a:graphicFrameLocks noChangeAspect="1"/>
            </wp:cNvGraphicFramePr>
            <a:graphic>
              <a:graphicData uri="http://schemas.openxmlformats.org/drawingml/2006/picture">
                <pic:pic>
                  <pic:nvPicPr>
                    <pic:cNvPr id="0" name="cert_adroit.png"/>
                    <pic:cNvPicPr/>
                  </pic:nvPicPr>
                  <pic:blipFill>
                    <a:blip r:embed="rId12"/>
                    <a:stretch>
                      <a:fillRect/>
                    </a:stretch>
                  </pic:blipFill>
                  <pic:spPr>
                    <a:xfrm>
                      <a:off x="0" y="0"/>
                      <a:ext cx="3233523" cy="4572000"/>
                    </a:xfrm>
                    <a:prstGeom prst="rect"/>
                  </pic:spPr>
                </pic:pic>
              </a:graphicData>
            </a:graphic>
          </wp:inline>
        </w:drawing>
      </w:r>
    </w:p>
    <w:p>
      <w:pPr>
        <w:keepNext/>
        <w:spacing w:before="20" w:after="120"/>
        <w:jc w:val="center"/>
      </w:pPr>
      <w:r>
        <w:rPr>
          <w:rFonts w:ascii="Times New Roman" w:hAnsi="Times New Roman"/>
          <w:i/>
          <w:sz w:val="21"/>
        </w:rPr>
        <w:t>Official Course Completion Certificate from AdroIT Prolearn</w:t>
      </w:r>
    </w:p>
    <w:p>
      <w:r>
        <w:br w:type="page"/>
      </w:r>
    </w:p>
    <w:p>
      <w:pPr>
        <w:keepNext/>
        <w:spacing w:before="120" w:after="80"/>
        <w:jc w:val="center"/>
      </w:pPr>
      <w:r>
        <w:rPr>
          <w:rFonts w:ascii="Times New Roman" w:hAnsi="Times New Roman"/>
          <w:b/>
          <w:sz w:val="32"/>
        </w:rPr>
        <w:t>STUDENT PERFORMANCE SCORE CARD</w:t>
      </w:r>
    </w:p>
    <w:p>
      <w:pPr>
        <w:spacing w:before="40" w:after="160" w:line="288" w:lineRule="auto"/>
        <w:jc w:val="both"/>
      </w:pPr>
      <w:r>
        <w:rPr>
          <w:rFonts w:ascii="Times New Roman" w:hAnsi="Times New Roman"/>
          <w:sz w:val="24"/>
        </w:rPr>
        <w:t>Official examination score card and assessment breakdown for Divyanshu Sharma (Register No: 23BDS1155) for the IBM - Advanced Generative AI training program, issued by the IBM Career Education Program team. The candidate secured an aggregate score of 90/100 (90%) across coursework assignments, progressive quizzes, and the final certification examination.</w:t>
      </w:r>
    </w:p>
    <w:p>
      <w:pPr>
        <w:keepNext/>
        <w:spacing w:before="80" w:after="20"/>
        <w:jc w:val="center"/>
      </w:pPr>
      <w:r>
        <w:drawing>
          <wp:inline xmlns:a="http://schemas.openxmlformats.org/drawingml/2006/main" xmlns:pic="http://schemas.openxmlformats.org/drawingml/2006/picture">
            <wp:extent cx="5120640" cy="3431089"/>
            <wp:docPr id="6" name="Picture 6"/>
            <wp:cNvGraphicFramePr>
              <a:graphicFrameLocks noChangeAspect="1"/>
            </wp:cNvGraphicFramePr>
            <a:graphic>
              <a:graphicData uri="http://schemas.openxmlformats.org/drawingml/2006/picture">
                <pic:pic>
                  <pic:nvPicPr>
                    <pic:cNvPr id="0" name="scorecard.png"/>
                    <pic:cNvPicPr/>
                  </pic:nvPicPr>
                  <pic:blipFill>
                    <a:blip r:embed="rId13"/>
                    <a:stretch>
                      <a:fillRect/>
                    </a:stretch>
                  </pic:blipFill>
                  <pic:spPr>
                    <a:xfrm>
                      <a:off x="0" y="0"/>
                      <a:ext cx="5120640" cy="3431089"/>
                    </a:xfrm>
                    <a:prstGeom prst="rect"/>
                  </pic:spPr>
                </pic:pic>
              </a:graphicData>
            </a:graphic>
          </wp:inline>
        </w:drawing>
      </w:r>
    </w:p>
    <w:p>
      <w:pPr>
        <w:keepNext/>
        <w:spacing w:before="20" w:after="120"/>
        <w:jc w:val="center"/>
      </w:pPr>
      <w:r>
        <w:rPr>
          <w:rFonts w:ascii="Times New Roman" w:hAnsi="Times New Roman"/>
          <w:i/>
          <w:sz w:val="21"/>
        </w:rPr>
        <w:t>Official Performance Score Card issued by IBM CE Team</w:t>
      </w:r>
    </w:p>
    <w:p>
      <w:r>
        <w:br w:type="page"/>
      </w:r>
    </w:p>
    <w:p>
      <w:pPr>
        <w:keepNext/>
        <w:spacing w:before="160" w:after="120"/>
        <w:jc w:val="center"/>
      </w:pPr>
      <w:r>
        <w:rPr>
          <w:rFonts w:ascii="Times New Roman" w:hAnsi="Times New Roman"/>
          <w:b/>
          <w:sz w:val="32"/>
        </w:rPr>
        <w:t>ACKNOWLEDGEMENT</w:t>
      </w:r>
    </w:p>
    <w:p>
      <w:pPr>
        <w:spacing w:before="120" w:after="80" w:line="324" w:lineRule="auto"/>
        <w:jc w:val="both"/>
      </w:pPr>
      <w:r>
        <w:rPr>
          <w:rFonts w:ascii="Times New Roman" w:hAnsi="Times New Roman"/>
          <w:sz w:val="24"/>
        </w:rPr>
        <w:t>I express my sincere and deepest gratitude to Dr. Vergin Raja Sarobin N, Head of the Department, B. Tech. Computer Science and Engineering (Data Science), Vellore Institute of Technology, Chennai, for her continuous encouragement, academic support, and for providing all the required infrastructure and facilities to carry out this summer internship successfully.</w:t>
      </w:r>
    </w:p>
    <w:p>
      <w:pPr>
        <w:spacing w:before="80" w:after="80" w:line="324" w:lineRule="auto"/>
        <w:jc w:val="both"/>
      </w:pPr>
      <w:r>
        <w:rPr>
          <w:rFonts w:ascii="Times New Roman" w:hAnsi="Times New Roman"/>
          <w:sz w:val="24"/>
        </w:rPr>
        <w:t>I convey my heartfelt thanks to Dr. VISWANATHAN V, DEAN, School of Computer Science &amp; Engineering, Vellore Institute of Technology, Chennai, for his inspiring leadership, institutional guidance, and for fostering high quality industry collaborative opportunities for students.</w:t>
      </w:r>
    </w:p>
    <w:p>
      <w:pPr>
        <w:spacing w:before="80" w:after="80" w:line="324" w:lineRule="auto"/>
        <w:jc w:val="both"/>
      </w:pPr>
      <w:r>
        <w:rPr>
          <w:rFonts w:ascii="Times New Roman" w:hAnsi="Times New Roman"/>
          <w:sz w:val="24"/>
        </w:rPr>
        <w:t>I express my sincere thanks to Dr. NITHYANANDAM P, Associate Dean, School of Computer Science &amp; Engineering, Vellore Institute of Technology, Chennai, for his valuable guidance and continuous support throughout the academic process.</w:t>
      </w:r>
    </w:p>
    <w:p>
      <w:pPr>
        <w:spacing w:before="80" w:after="80" w:line="324" w:lineRule="auto"/>
        <w:jc w:val="both"/>
      </w:pPr>
      <w:r>
        <w:rPr>
          <w:rFonts w:ascii="Times New Roman" w:hAnsi="Times New Roman"/>
          <w:sz w:val="24"/>
        </w:rPr>
        <w:t>I extend my sincere gratitude to Dr. SUGANYA G, Associate Dean, School of Computer Science &amp; Engineering, Vellore Institute of Technology, Chennai, for her kind support, academic coordination, and encouragement.</w:t>
      </w:r>
    </w:p>
    <w:p>
      <w:pPr>
        <w:spacing w:before="80" w:after="80" w:line="324" w:lineRule="auto"/>
        <w:jc w:val="both"/>
      </w:pPr>
      <w:r>
        <w:rPr>
          <w:rFonts w:ascii="Times New Roman" w:hAnsi="Times New Roman"/>
          <w:sz w:val="24"/>
        </w:rPr>
        <w:t>I also express my gratitude to Dr. SWEETLIN HEMALATHA C, Associate Dean, School of Computer Science &amp; Engineering, Vellore Institute of Technology, Chennai, for her motivation and valuable suggestions during the internship evaluation cycle.</w:t>
      </w:r>
    </w:p>
    <w:p>
      <w:pPr>
        <w:spacing w:before="80" w:after="80" w:line="324" w:lineRule="auto"/>
        <w:jc w:val="both"/>
      </w:pPr>
      <w:r>
        <w:rPr>
          <w:rFonts w:ascii="Times New Roman" w:hAnsi="Times New Roman"/>
          <w:sz w:val="24"/>
        </w:rPr>
        <w:t>I would like to place on record my sincere appreciation to the industry mentors and course instructors at IBM Career Education Program and AdroIT Prolearn, particularly Mr. Jagadisha Bhat and the training team at IBM India Pvt Ltd, for providing deep technical lectures, hands-on cloud labs, and practical guidance across Generative AI models.</w:t>
      </w:r>
    </w:p>
    <w:p>
      <w:pPr>
        <w:spacing w:before="80" w:after="0" w:line="324" w:lineRule="auto"/>
        <w:jc w:val="both"/>
      </w:pPr>
      <w:r>
        <w:rPr>
          <w:rFonts w:ascii="Times New Roman" w:hAnsi="Times New Roman"/>
          <w:sz w:val="24"/>
        </w:rPr>
        <w:t>Finally, I express my heartfelt gratitude to my parents, family members, and classmates for their constant moral support, patience, and encouragement throughout the completion of this report.</w:t>
      </w:r>
    </w:p>
    <w:p>
      <w:r>
        <w:br w:type="page"/>
      </w:r>
    </w:p>
    <w:p>
      <w:pPr>
        <w:keepNext/>
        <w:spacing w:before="120" w:after="80"/>
        <w:jc w:val="center"/>
      </w:pPr>
      <w:r>
        <w:rPr>
          <w:rFonts w:ascii="Times New Roman" w:hAnsi="Times New Roman"/>
          <w:b/>
          <w:sz w:val="32"/>
        </w:rPr>
        <w:t>CONTENTS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440"/>
            <w:tcMar>
              <w:top w:w="40" w:type="dxa"/>
              <w:bottom w:w="40" w:type="dxa"/>
              <w:left w:w="70" w:type="dxa"/>
              <w:right w:w="70" w:type="dxa"/>
            </w:tcMar>
            <w:shd w:fill="EBF1F5"/>
            <w:vAlign w:val="center"/>
          </w:tcPr>
          <w:p>
            <w:pPr>
              <w:spacing w:before="0" w:after="0"/>
              <w:jc w:val="center"/>
            </w:pPr>
            <w:r>
              <w:rPr>
                <w:rFonts w:ascii="Times New Roman" w:hAnsi="Times New Roman"/>
                <w:b/>
                <w:sz w:val="19"/>
              </w:rPr>
              <w:t>Chapter</w:t>
            </w:r>
          </w:p>
        </w:tc>
        <w:tc>
          <w:tcPr>
            <w:tcW w:type="dxa" w:w="6624"/>
            <w:tcMar>
              <w:top w:w="40" w:type="dxa"/>
              <w:bottom w:w="40" w:type="dxa"/>
              <w:left w:w="70" w:type="dxa"/>
              <w:right w:w="70" w:type="dxa"/>
            </w:tcMar>
            <w:shd w:fill="EBF1F5"/>
            <w:vAlign w:val="center"/>
          </w:tcPr>
          <w:p>
            <w:pPr>
              <w:spacing w:before="0" w:after="0"/>
              <w:jc w:val="center"/>
            </w:pPr>
            <w:r>
              <w:rPr>
                <w:rFonts w:ascii="Times New Roman" w:hAnsi="Times New Roman"/>
                <w:b/>
                <w:sz w:val="19"/>
              </w:rPr>
              <w:t>Title</w:t>
            </w:r>
          </w:p>
        </w:tc>
        <w:tc>
          <w:tcPr>
            <w:tcW w:type="dxa" w:w="1296"/>
            <w:tcMar>
              <w:top w:w="40" w:type="dxa"/>
              <w:bottom w:w="40" w:type="dxa"/>
              <w:left w:w="70" w:type="dxa"/>
              <w:right w:w="70" w:type="dxa"/>
            </w:tcMar>
            <w:shd w:fill="EBF1F5"/>
            <w:vAlign w:val="center"/>
          </w:tcPr>
          <w:p>
            <w:pPr>
              <w:spacing w:before="0" w:after="0"/>
              <w:jc w:val="center"/>
            </w:pPr>
            <w:r>
              <w:rPr>
                <w:rFonts w:ascii="Times New Roman" w:hAnsi="Times New Roman"/>
                <w:b/>
                <w:sz w:val="19"/>
              </w:rPr>
              <w:t>Page</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Title Page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Declaration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ii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Certificate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iii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Industry Internship Certificate (IBM Career Education)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iv</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Course Completion Certificate (AdroIT Prolearn)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v</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Student Performance Score Card (IBM Career Education)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vi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Acknowledgement</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vii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Table of Contents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viii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List of Tables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ix</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List of Figures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x</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List of Abbreviations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xi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Abstract</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xii</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1</w:t>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b/>
                <w:sz w:val="18"/>
              </w:rPr>
              <w:t>Introduction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01</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2</w:t>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b/>
                <w:sz w:val="18"/>
              </w:rPr>
              <w:t>Theoretical Foundations and Course Work</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04</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3</w:t>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b/>
                <w:sz w:val="18"/>
              </w:rPr>
              <w:t>Technical Implementation and Mini Projects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09</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 xml:space="preserve">    3.1 Practical Coursework Exercises and Assignment 1</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09</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 xml:space="preserve">    3.2 Mini Project 1: Data Science with Generative AI</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09</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sz w:val="18"/>
              </w:rPr>
              <w:t xml:space="preserve">    3.3 Mini Project 2: Software Development Using Generative AI</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17</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4</w:t>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b/>
                <w:sz w:val="18"/>
              </w:rPr>
              <w:t>Conclusion and Future Scope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25</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b/>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b/>
                <w:sz w:val="18"/>
              </w:rPr>
              <w:t>References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27</w:t>
            </w:r>
          </w:p>
        </w:tc>
      </w:tr>
      <w:tr>
        <w:tc>
          <w:tcPr>
            <w:tcW w:type="dxa" w:w="1440"/>
            <w:tcMar>
              <w:top w:w="22" w:type="dxa"/>
              <w:bottom w:w="22" w:type="dxa"/>
              <w:left w:w="70" w:type="dxa"/>
              <w:right w:w="70" w:type="dxa"/>
            </w:tcMar>
            <w:vAlign w:val="center"/>
          </w:tcPr>
          <w:p>
            <w:pPr>
              <w:spacing w:before="0" w:after="0" w:line="276" w:lineRule="auto"/>
              <w:jc w:val="center"/>
            </w:pPr>
            <w:r>
              <w:rPr>
                <w:rFonts w:ascii="Times New Roman" w:hAnsi="Times New Roman"/>
                <w:b/>
                <w:sz w:val="18"/>
              </w:rPr>
            </w:r>
          </w:p>
        </w:tc>
        <w:tc>
          <w:tcPr>
            <w:tcW w:type="dxa" w:w="6624"/>
            <w:tcMar>
              <w:top w:w="22" w:type="dxa"/>
              <w:bottom w:w="22" w:type="dxa"/>
              <w:left w:w="70" w:type="dxa"/>
              <w:right w:w="70" w:type="dxa"/>
            </w:tcMar>
            <w:vAlign w:val="center"/>
          </w:tcPr>
          <w:p>
            <w:pPr>
              <w:spacing w:before="0" w:after="0" w:line="276" w:lineRule="auto"/>
              <w:jc w:val="left"/>
            </w:pPr>
            <w:r>
              <w:rPr>
                <w:rFonts w:ascii="Times New Roman" w:hAnsi="Times New Roman"/>
                <w:b/>
                <w:sz w:val="18"/>
              </w:rPr>
              <w:t>Appendix I: Certificates, Links, and Source Code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b/>
                <w:sz w:val="18"/>
              </w:rPr>
              <w:t>28</w:t>
            </w:r>
          </w:p>
        </w:tc>
      </w:tr>
    </w:tbl>
    <w:p>
      <w:pPr>
        <w:spacing w:after="20"/>
      </w:pPr>
    </w:p>
    <w:p>
      <w:r>
        <w:br w:type="page"/>
      </w:r>
    </w:p>
    <w:p>
      <w:pPr>
        <w:keepNext/>
        <w:spacing w:before="160" w:after="12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728"/>
            <w:tcMar>
              <w:top w:w="40" w:type="dxa"/>
              <w:bottom w:w="40" w:type="dxa"/>
              <w:left w:w="70" w:type="dxa"/>
              <w:right w:w="70" w:type="dxa"/>
            </w:tcMar>
            <w:shd w:fill="EBF1F5"/>
            <w:vAlign w:val="center"/>
          </w:tcPr>
          <w:p>
            <w:pPr>
              <w:spacing w:before="0" w:after="0"/>
              <w:jc w:val="center"/>
            </w:pPr>
            <w:r>
              <w:rPr>
                <w:rFonts w:ascii="Times New Roman" w:hAnsi="Times New Roman"/>
                <w:b/>
                <w:sz w:val="20"/>
              </w:rPr>
              <w:t>Table No.</w:t>
            </w:r>
          </w:p>
        </w:tc>
        <w:tc>
          <w:tcPr>
            <w:tcW w:type="dxa" w:w="6336"/>
            <w:tcMar>
              <w:top w:w="40" w:type="dxa"/>
              <w:bottom w:w="40" w:type="dxa"/>
              <w:left w:w="70" w:type="dxa"/>
              <w:right w:w="70" w:type="dxa"/>
            </w:tcMar>
            <w:shd w:fill="EBF1F5"/>
            <w:vAlign w:val="center"/>
          </w:tcPr>
          <w:p>
            <w:pPr>
              <w:spacing w:before="0" w:after="0"/>
              <w:jc w:val="center"/>
            </w:pPr>
            <w:r>
              <w:rPr>
                <w:rFonts w:ascii="Times New Roman" w:hAnsi="Times New Roman"/>
                <w:b/>
                <w:sz w:val="20"/>
              </w:rPr>
              <w:t>Table Caption</w:t>
            </w:r>
          </w:p>
        </w:tc>
        <w:tc>
          <w:tcPr>
            <w:tcW w:type="dxa" w:w="1296"/>
            <w:tcMar>
              <w:top w:w="40" w:type="dxa"/>
              <w:bottom w:w="40" w:type="dxa"/>
              <w:left w:w="70" w:type="dxa"/>
              <w:right w:w="70" w:type="dxa"/>
            </w:tcMar>
            <w:shd w:fill="EBF1F5"/>
            <w:vAlign w:val="center"/>
          </w:tcPr>
          <w:p>
            <w:pPr>
              <w:spacing w:before="0" w:after="0"/>
              <w:jc w:val="center"/>
            </w:pPr>
            <w:r>
              <w:rPr>
                <w:rFonts w:ascii="Times New Roman" w:hAnsi="Times New Roman"/>
                <w:b/>
                <w:sz w:val="20"/>
              </w:rPr>
              <w:t>Page</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3.1</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Heart Disease Normalized SQLite Database Schema (3NF Structure)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10</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3.2</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Summary of Clinical Hypotheses, Statistical Findings, and Decisions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13</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3.3</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Performance Evaluation and Comparison of Machine Learning Models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14</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3.4</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Hyperparameter Tuning and Overfitting Mitigation Comparison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17</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3.5</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College Library Management System Requirements Specification Table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17</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3.6</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Non-Functional Requirements (NFRs) for Library Application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18</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3.7</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Automated Test Suite Execution Summary across Four Testing Modules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21</w:t>
            </w:r>
          </w:p>
        </w:tc>
      </w:tr>
      <w:tr>
        <w:tc>
          <w:tcPr>
            <w:tcW w:type="dxa" w:w="1728"/>
            <w:tcMar>
              <w:top w:w="22" w:type="dxa"/>
              <w:bottom w:w="22" w:type="dxa"/>
              <w:left w:w="70" w:type="dxa"/>
              <w:right w:w="70" w:type="dxa"/>
            </w:tcMar>
            <w:vAlign w:val="center"/>
          </w:tcPr>
          <w:p>
            <w:pPr>
              <w:spacing w:before="0" w:after="0" w:line="276" w:lineRule="auto"/>
              <w:jc w:val="center"/>
            </w:pPr>
            <w:r>
              <w:rPr>
                <w:rFonts w:ascii="Times New Roman" w:hAnsi="Times New Roman"/>
                <w:sz w:val="19"/>
              </w:rPr>
              <w:t>Table 3.8</w:t>
            </w:r>
          </w:p>
        </w:tc>
        <w:tc>
          <w:tcPr>
            <w:tcW w:type="dxa" w:w="6336"/>
            <w:tcMar>
              <w:top w:w="22" w:type="dxa"/>
              <w:bottom w:w="22" w:type="dxa"/>
              <w:left w:w="70" w:type="dxa"/>
              <w:right w:w="70" w:type="dxa"/>
            </w:tcMar>
            <w:vAlign w:val="center"/>
          </w:tcPr>
          <w:p>
            <w:pPr>
              <w:spacing w:before="0" w:after="0" w:line="276" w:lineRule="auto"/>
              <w:jc w:val="left"/>
            </w:pPr>
            <w:r>
              <w:rPr>
                <w:rFonts w:ascii="Times New Roman" w:hAnsi="Times New Roman"/>
                <w:sz w:val="19"/>
              </w:rPr>
              <w:t>Server Performance Telemetry and Critical Threshold Predictions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9"/>
              </w:rPr>
              <w:t>23</w:t>
            </w:r>
          </w:p>
        </w:tc>
      </w:tr>
    </w:tbl>
    <w:p>
      <w:pPr>
        <w:spacing w:after="20"/>
      </w:pPr>
    </w:p>
    <w:p>
      <w:r>
        <w:br w:type="page"/>
      </w:r>
    </w:p>
    <w:p>
      <w:pPr>
        <w:keepNext/>
        <w:spacing w:before="160" w:after="12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584"/>
            <w:tcMar>
              <w:top w:w="40" w:type="dxa"/>
              <w:bottom w:w="40" w:type="dxa"/>
              <w:left w:w="70" w:type="dxa"/>
              <w:right w:w="70" w:type="dxa"/>
            </w:tcMar>
            <w:shd w:fill="EBF1F5"/>
            <w:vAlign w:val="center"/>
          </w:tcPr>
          <w:p>
            <w:pPr>
              <w:spacing w:before="0" w:after="0"/>
              <w:jc w:val="center"/>
            </w:pPr>
            <w:r>
              <w:rPr>
                <w:rFonts w:ascii="Times New Roman" w:hAnsi="Times New Roman"/>
                <w:b/>
                <w:sz w:val="19"/>
              </w:rPr>
              <w:t>Fig No.</w:t>
            </w:r>
          </w:p>
        </w:tc>
        <w:tc>
          <w:tcPr>
            <w:tcW w:type="dxa" w:w="6480"/>
            <w:tcMar>
              <w:top w:w="40" w:type="dxa"/>
              <w:bottom w:w="40" w:type="dxa"/>
              <w:left w:w="70" w:type="dxa"/>
              <w:right w:w="70" w:type="dxa"/>
            </w:tcMar>
            <w:shd w:fill="EBF1F5"/>
            <w:vAlign w:val="center"/>
          </w:tcPr>
          <w:p>
            <w:pPr>
              <w:spacing w:before="0" w:after="0"/>
              <w:jc w:val="center"/>
            </w:pPr>
            <w:r>
              <w:rPr>
                <w:rFonts w:ascii="Times New Roman" w:hAnsi="Times New Roman"/>
                <w:b/>
                <w:sz w:val="19"/>
              </w:rPr>
              <w:t>Figure Caption</w:t>
            </w:r>
          </w:p>
        </w:tc>
        <w:tc>
          <w:tcPr>
            <w:tcW w:type="dxa" w:w="1296"/>
            <w:tcMar>
              <w:top w:w="40" w:type="dxa"/>
              <w:bottom w:w="40" w:type="dxa"/>
              <w:left w:w="70" w:type="dxa"/>
              <w:right w:w="70" w:type="dxa"/>
            </w:tcMar>
            <w:shd w:fill="EBF1F5"/>
            <w:vAlign w:val="center"/>
          </w:tcPr>
          <w:p>
            <w:pPr>
              <w:spacing w:before="0" w:after="0"/>
              <w:jc w:val="center"/>
            </w:pPr>
            <w:r>
              <w:rPr>
                <w:rFonts w:ascii="Times New Roman" w:hAnsi="Times New Roman"/>
                <w:b/>
                <w:sz w:val="19"/>
              </w:rPr>
              <w:t>Page</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3.1</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Entity Relationship Diagram for Normalized Heart Disease Database Schema</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11</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3.2</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Univariate and Bivariate Clinical Distributions Dashboard</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12</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3.3</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Bivariate Clinical Feature Scatter Distributions and Associations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13</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3.4</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Random Forest Feature Importance Assessment across 13 Clinical Attributes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15</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3.5</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SHAP Beeswarm Summary Plot for Global Feature Impact on Predictions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16</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3.6</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SHAP Force Plot for Local Single Patient Decision Explanation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16</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3.7</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Visily UI Wireframes for College Library Management System Screens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19</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3.8</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Multi-Tier System Architecture Diagram Generated with Eraser.io</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19</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3.9</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Eraser.io Entity Relationship Diagram for Library Relational Database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20</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3.10</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Interactive HTML Frontend Interface Rendered inside Google Colab</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21</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3.11</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Automated Test Suite Execution Output Showing 100% Pass Rate</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22</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3.12</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API Latency Telemetry Simulation with Real-time Surge and AI Mitigation</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23</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Fig 3.13</w:t>
            </w:r>
          </w:p>
        </w:tc>
        <w:tc>
          <w:tcPr>
            <w:tcW w:type="dxa" w:w="6480"/>
            <w:tcMar>
              <w:top w:w="22" w:type="dxa"/>
              <w:bottom w:w="22" w:type="dxa"/>
              <w:left w:w="70" w:type="dxa"/>
              <w:right w:w="70" w:type="dxa"/>
            </w:tcMar>
            <w:vAlign w:val="center"/>
          </w:tcPr>
          <w:p>
            <w:pPr>
              <w:spacing w:before="0" w:after="0" w:line="276" w:lineRule="auto"/>
              <w:jc w:val="left"/>
            </w:pPr>
            <w:r>
              <w:rPr>
                <w:rFonts w:ascii="Times New Roman" w:hAnsi="Times New Roman"/>
                <w:sz w:val="18"/>
              </w:rPr>
              <w:t>Predictive Maintenance Telemetry Forecast and Resource Saturation Curves</w:t>
            </w:r>
          </w:p>
        </w:tc>
        <w:tc>
          <w:tcPr>
            <w:tcW w:type="dxa" w:w="1296"/>
            <w:tcMar>
              <w:top w:w="22" w:type="dxa"/>
              <w:bottom w:w="22" w:type="dxa"/>
              <w:left w:w="70" w:type="dxa"/>
              <w:right w:w="70" w:type="dxa"/>
            </w:tcMar>
            <w:vAlign w:val="center"/>
          </w:tcPr>
          <w:p>
            <w:pPr>
              <w:spacing w:before="0" w:after="0" w:line="276" w:lineRule="auto"/>
              <w:jc w:val="center"/>
            </w:pPr>
            <w:r>
              <w:rPr>
                <w:rFonts w:ascii="Times New Roman" w:hAnsi="Times New Roman"/>
                <w:sz w:val="18"/>
              </w:rPr>
              <w:t>24</w:t>
            </w:r>
          </w:p>
        </w:tc>
      </w:tr>
    </w:tbl>
    <w:p>
      <w:pPr>
        <w:spacing w:after="20"/>
      </w:pPr>
    </w:p>
    <w:p>
      <w:r>
        <w:br w:type="page"/>
      </w:r>
    </w:p>
    <w:p>
      <w:pPr>
        <w:keepNext/>
        <w:spacing w:before="160" w:after="120"/>
        <w:jc w:val="center"/>
      </w:pPr>
      <w:r>
        <w:rPr>
          <w:rFonts w:ascii="Times New Roman" w:hAnsi="Times New Roman"/>
          <w:b/>
          <w:sz w:val="32"/>
        </w:rPr>
        <w:t>LIST OF ABBREVIATIONS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584"/>
            <w:tcMar>
              <w:top w:w="40" w:type="dxa"/>
              <w:bottom w:w="40" w:type="dxa"/>
              <w:left w:w="70" w:type="dxa"/>
              <w:right w:w="70" w:type="dxa"/>
            </w:tcMar>
            <w:shd w:fill="EBF1F5"/>
            <w:vAlign w:val="center"/>
          </w:tcPr>
          <w:p>
            <w:pPr>
              <w:spacing w:before="0" w:after="0"/>
              <w:jc w:val="center"/>
            </w:pPr>
            <w:r>
              <w:rPr>
                <w:rFonts w:ascii="Times New Roman" w:hAnsi="Times New Roman"/>
                <w:b/>
                <w:sz w:val="19"/>
              </w:rPr>
              <w:t>Abbreviation</w:t>
            </w:r>
          </w:p>
        </w:tc>
        <w:tc>
          <w:tcPr>
            <w:tcW w:type="dxa" w:w="3096"/>
            <w:tcMar>
              <w:top w:w="40" w:type="dxa"/>
              <w:bottom w:w="40" w:type="dxa"/>
              <w:left w:w="70" w:type="dxa"/>
              <w:right w:w="70" w:type="dxa"/>
            </w:tcMar>
            <w:shd w:fill="EBF1F5"/>
            <w:vAlign w:val="center"/>
          </w:tcPr>
          <w:p>
            <w:pPr>
              <w:spacing w:before="0" w:after="0"/>
              <w:jc w:val="center"/>
            </w:pPr>
            <w:r>
              <w:rPr>
                <w:rFonts w:ascii="Times New Roman" w:hAnsi="Times New Roman"/>
                <w:b/>
                <w:sz w:val="19"/>
              </w:rPr>
              <w:t>Expansion</w:t>
            </w:r>
          </w:p>
        </w:tc>
        <w:tc>
          <w:tcPr>
            <w:tcW w:type="dxa" w:w="1584"/>
            <w:tcMar>
              <w:top w:w="40" w:type="dxa"/>
              <w:bottom w:w="40" w:type="dxa"/>
              <w:left w:w="70" w:type="dxa"/>
              <w:right w:w="70" w:type="dxa"/>
            </w:tcMar>
            <w:shd w:fill="EBF1F5"/>
            <w:vAlign w:val="center"/>
          </w:tcPr>
          <w:p>
            <w:pPr>
              <w:spacing w:before="0" w:after="0"/>
              <w:jc w:val="center"/>
            </w:pPr>
            <w:r>
              <w:rPr>
                <w:rFonts w:ascii="Times New Roman" w:hAnsi="Times New Roman"/>
                <w:b/>
                <w:sz w:val="19"/>
              </w:rPr>
              <w:t>Abbreviation</w:t>
            </w:r>
          </w:p>
        </w:tc>
        <w:tc>
          <w:tcPr>
            <w:tcW w:type="dxa" w:w="3096"/>
            <w:tcMar>
              <w:top w:w="40" w:type="dxa"/>
              <w:bottom w:w="40" w:type="dxa"/>
              <w:left w:w="70" w:type="dxa"/>
              <w:right w:w="70" w:type="dxa"/>
            </w:tcMar>
            <w:shd w:fill="EBF1F5"/>
            <w:vAlign w:val="center"/>
          </w:tcPr>
          <w:p>
            <w:pPr>
              <w:spacing w:before="0" w:after="0"/>
              <w:jc w:val="center"/>
            </w:pPr>
            <w:r>
              <w:rPr>
                <w:rFonts w:ascii="Times New Roman" w:hAnsi="Times New Roman"/>
                <w:b/>
                <w:sz w:val="19"/>
              </w:rPr>
              <w:t>Expansion</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AI</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Artificial Intelligence</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ML</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Machine Learning</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API</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Application Programming Interface</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NFR</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Non-Functional Requirement</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AUC</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Area Under the Curve</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NLP</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Natural Language Processing</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BERT</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Bidirectional Encoder Representations</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RAG</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Retrieval-Augmented Generation</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BPE</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Byte Pair Encoding</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ReLU</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Rectified Linear Unit</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CE</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Career Education</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RF</w:t>
            </w:r>
          </w:p>
        </w:tc>
        <w:tc>
          <w:tcPr>
            <w:tcW w:type="dxa" w:w="3096"/>
            <w:tcMar>
              <w:top w:w="22" w:type="dxa"/>
              <w:bottom w:w="22" w:type="dxa"/>
              <w:left w:w="70" w:type="dxa"/>
              <w:right w:w="70" w:type="dxa"/>
            </w:tcMar>
            <w:vAlign w:val="center"/>
          </w:tcPr>
          <w:p>
            <w:pPr>
              <w:spacing w:before="0" w:after="0" w:line="276" w:lineRule="auto"/>
              <w:jc w:val="center"/>
            </w:pPr>
            <w:r>
              <w:rPr>
                <w:rFonts w:ascii="Times New Roman" w:hAnsi="Times New Roman"/>
                <w:sz w:val="18"/>
              </w:rPr>
              <w:t>Random Forest</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CI/CD</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Continuous Integration / Deployment</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ROC</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Receiver Operating Characteristic</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CNN</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Convolutional Neural Network</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SDLC</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Software Development Life Cycle</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CoT</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Chain of Thought</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SHAP</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SHapley Additive exPlanations</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CSV</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Comma Separated Values</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SIEM</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Security Information &amp; Event Mgmt</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CV</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Cross Validation</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SQL</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Structured Query Language</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DDL</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Data Definition Language</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ToT</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Tree of Thought</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EDA</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Exploratory Data Analysis</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UCI</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University of California, Irvine</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ERD</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Entity Relationship Diagram</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UEBA</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User and Entity Behavior Analytics</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ETL</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Extract, Transform, Load</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UI</w:t>
            </w:r>
          </w:p>
        </w:tc>
        <w:tc>
          <w:tcPr>
            <w:tcW w:type="dxa" w:w="3096"/>
            <w:tcMar>
              <w:top w:w="22" w:type="dxa"/>
              <w:bottom w:w="22" w:type="dxa"/>
              <w:left w:w="70" w:type="dxa"/>
              <w:right w:w="70" w:type="dxa"/>
            </w:tcMar>
            <w:vAlign w:val="center"/>
          </w:tcPr>
          <w:p>
            <w:pPr>
              <w:spacing w:before="0" w:after="0" w:line="276" w:lineRule="auto"/>
              <w:jc w:val="center"/>
            </w:pPr>
            <w:r>
              <w:rPr>
                <w:rFonts w:ascii="Times New Roman" w:hAnsi="Times New Roman"/>
                <w:sz w:val="18"/>
              </w:rPr>
              <w:t>User Interface</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GAN</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Generative Adversarial Network</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VAE</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Variational Autoencoder</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GPT</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Generative Pre-trained Transformer</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VIT</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Vellore Institute of Technology</w:t>
            </w:r>
          </w:p>
        </w:tc>
      </w:tr>
      <w:tr>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HF</w:t>
            </w:r>
          </w:p>
        </w:tc>
        <w:tc>
          <w:tcPr>
            <w:tcW w:type="dxa" w:w="3096"/>
            <w:tcMar>
              <w:top w:w="22" w:type="dxa"/>
              <w:bottom w:w="22" w:type="dxa"/>
              <w:left w:w="70" w:type="dxa"/>
              <w:right w:w="70" w:type="dxa"/>
            </w:tcMar>
            <w:vAlign w:val="center"/>
          </w:tcPr>
          <w:p>
            <w:pPr>
              <w:spacing w:before="0" w:after="0" w:line="276" w:lineRule="auto"/>
              <w:jc w:val="center"/>
            </w:pPr>
            <w:r>
              <w:rPr>
                <w:rFonts w:ascii="Times New Roman" w:hAnsi="Times New Roman"/>
                <w:sz w:val="18"/>
              </w:rPr>
              <w:t>Hugging Face</w:t>
            </w:r>
          </w:p>
        </w:tc>
        <w:tc>
          <w:tcPr>
            <w:tcW w:type="dxa" w:w="1584"/>
            <w:tcMar>
              <w:top w:w="22" w:type="dxa"/>
              <w:bottom w:w="22" w:type="dxa"/>
              <w:left w:w="70" w:type="dxa"/>
              <w:right w:w="70" w:type="dxa"/>
            </w:tcMar>
            <w:vAlign w:val="center"/>
          </w:tcPr>
          <w:p>
            <w:pPr>
              <w:spacing w:before="0" w:after="0" w:line="276" w:lineRule="auto"/>
              <w:jc w:val="center"/>
            </w:pPr>
            <w:r>
              <w:rPr>
                <w:rFonts w:ascii="Times New Roman" w:hAnsi="Times New Roman"/>
                <w:sz w:val="18"/>
              </w:rPr>
              <w:t>LR</w:t>
            </w:r>
          </w:p>
        </w:tc>
        <w:tc>
          <w:tcPr>
            <w:tcW w:type="dxa" w:w="3096"/>
            <w:tcMar>
              <w:top w:w="22" w:type="dxa"/>
              <w:bottom w:w="22" w:type="dxa"/>
              <w:left w:w="70" w:type="dxa"/>
              <w:right w:w="70" w:type="dxa"/>
            </w:tcMar>
            <w:vAlign w:val="center"/>
          </w:tcPr>
          <w:p>
            <w:pPr>
              <w:spacing w:before="0" w:after="0" w:line="276" w:lineRule="auto"/>
              <w:jc w:val="left"/>
            </w:pPr>
            <w:r>
              <w:rPr>
                <w:rFonts w:ascii="Times New Roman" w:hAnsi="Times New Roman"/>
                <w:sz w:val="18"/>
              </w:rPr>
              <w:t>Logistic Regression</w:t>
            </w:r>
          </w:p>
        </w:tc>
      </w:tr>
    </w:tbl>
    <w:p>
      <w:pPr>
        <w:spacing w:after="20"/>
      </w:pPr>
    </w:p>
    <w:p>
      <w:r>
        <w:br w:type="page"/>
      </w:r>
    </w:p>
    <w:p>
      <w:pPr>
        <w:keepNext/>
        <w:spacing w:before="80" w:after="60"/>
        <w:jc w:val="center"/>
      </w:pPr>
      <w:r>
        <w:rPr>
          <w:rFonts w:ascii="Times New Roman" w:hAnsi="Times New Roman"/>
          <w:b/>
          <w:sz w:val="32"/>
        </w:rPr>
        <w:t>ABSTRACT</w:t>
      </w:r>
    </w:p>
    <w:p>
      <w:pPr>
        <w:spacing w:before="20" w:after="40" w:line="269" w:lineRule="auto"/>
        <w:jc w:val="both"/>
      </w:pPr>
      <w:r>
        <w:rPr>
          <w:rFonts w:ascii="Times New Roman" w:hAnsi="Times New Roman"/>
          <w:b/>
          <w:sz w:val="23"/>
        </w:rPr>
        <w:t xml:space="preserve">Present Scenario of the Area: </w:t>
      </w:r>
      <w:r>
        <w:rPr>
          <w:rFonts w:ascii="Times New Roman" w:hAnsi="Times New Roman"/>
          <w:sz w:val="23"/>
        </w:rPr>
        <w:t>The field of Artificial Intelligence has seen a major transformation with the rise of foundation models and Generative Artificial Intelligence (GenAI). In the present scenario, machine learning workflows in data science and software engineering are shifting from training narrow task-specific models from scratch toward adapting large pretrained models. Modern enterprises use large language models, transformer networks, and diffusion pipelines to automate exploratory data analysis, generate synthetic records, write source code, and design user interfaces. Industry platforms like Hugging Face, IBM Granite, and Google Gemini allow developers to interact with models through natural language prompts and high-level programming interfaces, which speeds up early prototyping.</w:t>
      </w:r>
    </w:p>
    <w:p>
      <w:pPr>
        <w:spacing w:before="20" w:after="40" w:line="269" w:lineRule="auto"/>
        <w:jc w:val="both"/>
      </w:pPr>
      <w:r>
        <w:rPr>
          <w:rFonts w:ascii="Times New Roman" w:hAnsi="Times New Roman"/>
          <w:b/>
          <w:sz w:val="23"/>
        </w:rPr>
        <w:t xml:space="preserve">Limitations and Pitfalls of the Present Scenario: </w:t>
      </w:r>
      <w:r>
        <w:rPr>
          <w:rFonts w:ascii="Times New Roman" w:hAnsi="Times New Roman"/>
          <w:sz w:val="23"/>
        </w:rPr>
        <w:t>However, several limitations and pitfalls exist in this current setup. Pretrained models frequently hallucinate non-existent information, generate code with subtle security flaws, or produce predictions without clear explainability. In tabular data science, off-the-shelf models often overfit small datasets and lack the transparent feature attribution required by regulated sectors like healthcare and finance. In software development, AI tools often propose disjointed code snippets without understanding relational database constraints, transactional consistency, or edge cases. Furthermore, issues regarding computational cost, API rate limits, data leakage, and a lack of systematic testing create hurdles for deploying generative workflows into real-world production environments.</w:t>
      </w:r>
    </w:p>
    <w:p>
      <w:pPr>
        <w:spacing w:before="20" w:after="40" w:line="269" w:lineRule="auto"/>
        <w:jc w:val="both"/>
      </w:pPr>
      <w:r>
        <w:rPr>
          <w:rFonts w:ascii="Times New Roman" w:hAnsi="Times New Roman"/>
          <w:b/>
          <w:sz w:val="23"/>
        </w:rPr>
        <w:t xml:space="preserve">Problem Addressed: </w:t>
      </w:r>
      <w:r>
        <w:rPr>
          <w:rFonts w:ascii="Times New Roman" w:hAnsi="Times New Roman"/>
          <w:sz w:val="23"/>
        </w:rPr>
        <w:t>This internship work addresses these challenges across two core tracks: applying Generative AI to clinical data science workflows, and using Generative AI across the complete software development life cycle (SDLC). The primary problems addressed include the lack of interpretability and overfitting in medical prediction pipelines, and the lack of structured verification, database consistency, and operational monitoring in AI-assisted application development.</w:t>
      </w:r>
    </w:p>
    <w:p>
      <w:pPr>
        <w:spacing w:before="20" w:after="0" w:line="269" w:lineRule="auto"/>
        <w:jc w:val="both"/>
      </w:pPr>
      <w:r>
        <w:rPr>
          <w:rFonts w:ascii="Times New Roman" w:hAnsi="Times New Roman"/>
          <w:b/>
          <w:sz w:val="23"/>
        </w:rPr>
        <w:t xml:space="preserve">Proposed Solution: </w:t>
      </w:r>
      <w:r>
        <w:rPr>
          <w:rFonts w:ascii="Times New Roman" w:hAnsi="Times New Roman"/>
          <w:sz w:val="23"/>
        </w:rPr>
        <w:t>To solve these problems, this report presents the implementation of two comprehensive mini projects alongside fundamental hands-on coursework. In the first track, an end-to-end Heart Disease Prediction Pipeline was developed using the UCI Cleveland dataset. The raw data was cleaned, normalized into a 3NF relational SQLite schema, and analyzed through statistical tests. Multiple machine learning algorithms were trained, and model explainability was achieved through SHapley Additive exPlanations (SHAP) beeswarm and force plots. Severe baseline overfitting was diagnosed and mitigated using 5-fold cross-validation and GridSearchCV hyperparameter tuning, lowering the overfitting gap from 0.1311 down to 0.0528 while reaching an 88.52% test accuracy. In the second track, a College Library Management System was engineered across seven structured phases using GenAI. This included requirement elicitation via ChatGPT, UI wireframe creation with Visily, system architecture and ER diagrams through Eraser.io, core Python development in Google Colab, automated unit testing with a 100% pass rate, simulated API latency spike monitoring, and a 30-day predictive maintenance forecast. These implementations prove how Generative AI can be safely and reliably embedded into real engineering workflows.</w:t>
      </w:r>
    </w:p>
    <w:p>
      <w:pPr>
        <w:sectPr>
          <w:footerReference w:type="default" r:id="rId9"/>
          <w:pgSz w:w="12240" w:h="15840"/>
          <w:pgMar w:top="1152" w:right="1440" w:bottom="1152" w:left="1440" w:header="720" w:footer="720" w:gutter="0"/>
          <w:cols w:space="720"/>
          <w:titlePg/>
          <w:docGrid w:linePitch="360"/>
          <w:pgNumType w:fmt="lowerRoman" w:start="1"/>
        </w:sectPr>
      </w:pPr>
    </w:p>
    <w:p>
      <w:pPr>
        <w:keepNext/>
        <w:spacing w:before="240" w:after="120"/>
        <w:jc w:val="center"/>
      </w:pPr>
      <w:r>
        <w:rPr>
          <w:rFonts w:ascii="Times New Roman" w:hAnsi="Times New Roman"/>
          <w:b/>
          <w:sz w:val="32"/>
        </w:rPr>
        <w:t>1 INTRODUCTION</w:t>
      </w:r>
    </w:p>
    <w:p>
      <w:pPr>
        <w:keepNext/>
        <w:spacing w:before="200" w:after="60"/>
        <w:jc w:val="left"/>
      </w:pPr>
      <w:r>
        <w:rPr>
          <w:rFonts w:ascii="Times New Roman" w:hAnsi="Times New Roman"/>
          <w:b/>
          <w:sz w:val="28"/>
        </w:rPr>
        <w:t>1.1 Organization Profile</w:t>
      </w:r>
    </w:p>
    <w:p>
      <w:pPr>
        <w:spacing w:before="0" w:after="60" w:line="324" w:lineRule="auto"/>
        <w:jc w:val="both"/>
      </w:pPr>
      <w:r>
        <w:rPr>
          <w:rFonts w:ascii="Times New Roman" w:hAnsi="Times New Roman"/>
          <w:sz w:val="24"/>
        </w:rPr>
        <w:t>The summer internship was carried out under the corporate training program conducted by the IBM Career Education Program in association with AdroIT Prolearn. International Business Machines Corporation (IBM) is one of the world's leading technology and consulting enterprises, founded in 1911 and headquartered in Armonk, New York. For more than a century, IBM has driven major breakthroughs in computing, from mainframe systems and relational database architecture to modern cloud infrastructure, quantum computing, and enterprise artificial intelligence.</w:t>
      </w:r>
    </w:p>
    <w:p>
      <w:pPr>
        <w:spacing w:before="0" w:after="60" w:line="324" w:lineRule="auto"/>
        <w:jc w:val="both"/>
      </w:pPr>
      <w:r>
        <w:rPr>
          <w:rFonts w:ascii="Times New Roman" w:hAnsi="Times New Roman"/>
          <w:sz w:val="24"/>
        </w:rPr>
        <w:t>The IBM Career Education Program is an industry enablement initiative established to bridge the gap between academic curricula and industrial technology demands. Through platforms like IBM Developer Skills Network and ibmcep.cognitiveclass.ai, the program delivers specialized training tracks in artificial intelligence, cloud computing, cybersecurity, and data engineering. The Advanced Generative AI track (CEGENAI1IN) was structured to equip students with practical skills in foundation models, prompt engineering, transformer pipelines, and responsible artificial intelligence principles under the supervision of IBM Technology Expert Labs.</w:t>
      </w:r>
    </w:p>
    <w:p>
      <w:pPr>
        <w:spacing w:before="0" w:after="60" w:line="324" w:lineRule="auto"/>
        <w:jc w:val="both"/>
      </w:pPr>
      <w:r>
        <w:rPr>
          <w:rFonts w:ascii="Times New Roman" w:hAnsi="Times New Roman"/>
          <w:sz w:val="24"/>
        </w:rPr>
        <w:t>AdroIT Prolearn served as the academic delivery partner for this program, managing student onboarding, lecture scheduling, hands-on lab environments, and project evaluation in coordination with the School of Computer Science and Engineering at Vellore Institute of Technology (VIT), Chennai Campus. This collaboration gave us access to cloud notebooks, proprietary course materials, and industry mentorship throughout the internship duration.</w:t>
      </w:r>
    </w:p>
    <w:p>
      <w:pPr>
        <w:keepNext/>
        <w:spacing w:before="200" w:after="60"/>
        <w:jc w:val="left"/>
      </w:pPr>
      <w:r>
        <w:rPr>
          <w:rFonts w:ascii="Times New Roman" w:hAnsi="Times New Roman"/>
          <w:b/>
          <w:sz w:val="28"/>
        </w:rPr>
        <w:t>1.2 Internship Overview and Industrial Context</w:t>
      </w:r>
    </w:p>
    <w:p>
      <w:pPr>
        <w:spacing w:before="0" w:after="60" w:line="324" w:lineRule="auto"/>
        <w:jc w:val="both"/>
      </w:pPr>
      <w:r>
        <w:rPr>
          <w:rFonts w:ascii="Times New Roman" w:hAnsi="Times New Roman"/>
          <w:sz w:val="24"/>
        </w:rPr>
        <w:t>The internship commenced in May 2026 and concluded in July 2026, corresponding to the May 2026 batch. The primary focus was 'Advanced Generative AI', a technical domain that has quickly moved from theoretical research into active commercial deployment. Recent breakthroughs in transformer architectures, self-attention mechanisms, and large-scale pretraining have redefined how modern software and data science workflows operate.</w:t>
      </w:r>
    </w:p>
    <w:p>
      <w:pPr>
        <w:spacing w:before="0" w:after="60" w:line="324" w:lineRule="auto"/>
        <w:jc w:val="both"/>
      </w:pPr>
      <w:r>
        <w:rPr>
          <w:rFonts w:ascii="Times New Roman" w:hAnsi="Times New Roman"/>
          <w:sz w:val="24"/>
        </w:rPr>
        <w:t>In traditional data science, machine learning engineers spent the bulk of their project time manually cleaning dirty text, engineering ad-hoc features, writing boilerplate database scripts, and tuning linear models. Generative AI fundamentally shifts this paradigm. Today, foundation models such as IBM Granite, GPT, BERT, and open-source models hosted on Hugging Face can be guided through natural language prompts to perform complex text classification, generate syntactically correct SQL schemas, write test suites, and uncover hidden statistical correlations.</w:t>
      </w:r>
    </w:p>
    <w:p>
      <w:pPr>
        <w:spacing w:before="0" w:after="60" w:line="324" w:lineRule="auto"/>
        <w:jc w:val="both"/>
      </w:pPr>
      <w:r>
        <w:rPr>
          <w:rFonts w:ascii="Times New Roman" w:hAnsi="Times New Roman"/>
          <w:sz w:val="24"/>
        </w:rPr>
        <w:t>However, bringing Generative AI into enterprise environments introduces specific challenges. Raw language models can produce hallucinations, lack domain-specific clinical precision, and generate code that looks plausible but fails under edge cases. The objective of this training program was to move beyond simple chat interactions and learn how to engineer reliable, deterministic, and explainable AI pipelines that combine generative tools with established engineering standards.</w:t>
      </w:r>
    </w:p>
    <w:p>
      <w:pPr>
        <w:keepNext/>
        <w:spacing w:before="200" w:after="60"/>
        <w:jc w:val="left"/>
      </w:pPr>
      <w:r>
        <w:rPr>
          <w:rFonts w:ascii="Times New Roman" w:hAnsi="Times New Roman"/>
          <w:b/>
          <w:sz w:val="28"/>
        </w:rPr>
        <w:t>1.3 Objectives of the Internship</w:t>
      </w:r>
    </w:p>
    <w:p>
      <w:pPr>
        <w:spacing w:before="0" w:after="60" w:line="324" w:lineRule="auto"/>
        <w:jc w:val="both"/>
      </w:pPr>
      <w:r>
        <w:rPr>
          <w:rFonts w:ascii="Times New Roman" w:hAnsi="Times New Roman"/>
          <w:sz w:val="24"/>
        </w:rPr>
        <w:t>The technical objectives of the internship program were defined as follows: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Foundational Understanding: </w:t>
      </w:r>
      <w:r>
        <w:rPr>
          <w:rFonts w:ascii="Times New Roman" w:hAnsi="Times New Roman"/>
          <w:sz w:val="24"/>
        </w:rPr>
        <w:t>To understand the core mathematical and architectural foundations of deep learning, artificial neural networks, activation functions, and backpropagation.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Prompt Engineering Mastery: </w:t>
      </w:r>
      <w:r>
        <w:rPr>
          <w:rFonts w:ascii="Times New Roman" w:hAnsi="Times New Roman"/>
          <w:sz w:val="24"/>
        </w:rPr>
        <w:t>To master advanced prompt engineering techniques, including Zero-shot, Few-shot, Chain-of-Thought (CoT), and Tree-of-Thought (ToT) strategies for reasoning tasks.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Transformer Architecture Hands-on: </w:t>
      </w:r>
      <w:r>
        <w:rPr>
          <w:rFonts w:ascii="Times New Roman" w:hAnsi="Times New Roman"/>
          <w:sz w:val="24"/>
        </w:rPr>
        <w:t>To gain practical experience with transformer models (BERT, GPT-2, IBM Granite 3.1) using the Hugging Face ecosystem, BertViz attention tools, and tiktoken tokenizers.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Generative Paradigms Exploration: </w:t>
      </w:r>
      <w:r>
        <w:rPr>
          <w:rFonts w:ascii="Times New Roman" w:hAnsi="Times New Roman"/>
          <w:sz w:val="24"/>
        </w:rPr>
        <w:t>To explore generative architectures including Generative Adversarial Networks (GANs), Variational Autoencoders (VAEs), Latent Diffusion Models, and Whisper audio models.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Data Science Implementation: </w:t>
      </w:r>
      <w:r>
        <w:rPr>
          <w:rFonts w:ascii="Times New Roman" w:hAnsi="Times New Roman"/>
          <w:sz w:val="24"/>
        </w:rPr>
        <w:t>To build a complete clinical data science pipeline (Mini Project 1) combining data cleaning, SQLite database normalization, exploratory data analysis, machine learning classification, SHAP explainability, and hyperparameter tuning.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Software Development Lifecycle: </w:t>
      </w:r>
      <w:r>
        <w:rPr>
          <w:rFonts w:ascii="Times New Roman" w:hAnsi="Times New Roman"/>
          <w:sz w:val="24"/>
        </w:rPr>
        <w:t>To engineer a full-stack software application (Mini Project 2) across seven structured phases using GenAI tools for requirements analysis, UI wireframing, architecture design, Colab development, automated testing, telemetry monitoring, and predictive maintenance.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Ethics and Responsible AI: </w:t>
      </w:r>
      <w:r>
        <w:rPr>
          <w:rFonts w:ascii="Times New Roman" w:hAnsi="Times New Roman"/>
          <w:sz w:val="24"/>
        </w:rPr>
        <w:t>To study responsible AI governance principles, including IBM's 5 Pillars of Trust, cybersecurity threat detection, and mitigation of model hallucinations.</w:t>
      </w:r>
    </w:p>
    <w:p>
      <w:pPr>
        <w:keepNext/>
        <w:spacing w:before="200" w:after="60"/>
        <w:jc w:val="left"/>
      </w:pPr>
      <w:r>
        <w:rPr>
          <w:rFonts w:ascii="Times New Roman" w:hAnsi="Times New Roman"/>
          <w:b/>
          <w:sz w:val="28"/>
        </w:rPr>
        <w:t>1.4 Scope and Key Deliverables</w:t>
      </w:r>
    </w:p>
    <w:p>
      <w:pPr>
        <w:spacing w:before="0" w:after="60" w:line="324" w:lineRule="auto"/>
        <w:jc w:val="both"/>
      </w:pPr>
      <w:r>
        <w:rPr>
          <w:rFonts w:ascii="Times New Roman" w:hAnsi="Times New Roman"/>
          <w:sz w:val="24"/>
        </w:rPr>
        <w:t>The scope of work encompassed daily technical lectures, hands-on programming labs in Google Colab, individual assignments, and two end-to-end mini projects. The major deliverables submitted and evaluated during the internship included:</w:t>
      </w:r>
    </w:p>
    <w:p>
      <w:pPr>
        <w:spacing w:before="0" w:after="50" w:line="312" w:lineRule="auto"/>
        <w:ind w:left="288"/>
        <w:jc w:val="both"/>
      </w:pPr>
      <w:r>
        <w:rPr>
          <w:rFonts w:ascii="Times New Roman" w:hAnsi="Times New Roman"/>
          <w:sz w:val="24"/>
        </w:rPr>
        <w:t xml:space="preserve">•  </w:t>
      </w:r>
      <w:r>
        <w:rPr>
          <w:rFonts w:ascii="Times New Roman" w:hAnsi="Times New Roman"/>
          <w:sz w:val="24"/>
        </w:rPr>
        <w:t>Assignment 1: Five core programming solutions covering Hugging Face sentiment analysis pipelines, GPT-2 autoregressive text completion, BERT masked language modeling, tiktoken BPE token counting, and Hugging Face Hub API queries, alongside laboratory implementations of BertViz attention visualization, IBM Granite 3.1 local inference, GAN training on MNIST, VAE latent space reconstruction, Stable Diffusion image synthesis, and Whisper audio transcription.</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1: Heart Disease Prediction Pipeline using the UCI Cleveland clinical dataset, featuring ETL processing, SQLite 3NF relational modeling, univariate and bivariate statistical analysis, hypothesis verification, multi-model evaluation (Logistic Regression, Random Forest, Gradient Boosting, Stacking Ensemble), SHAP model interpretability, and GridSearchCV overfitting mitigation.</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2: College Library Management System developed across seven phases using ChatGPT for requirements analysis, Visily for wireframe generation, Eraser.io for architecture and ER diagrams, Google Colab for Python and HTML development, an automated 10-point test runner, simulated deployment telemetry with latency surge alerts, and a 30-day predictive maintenance forecast.</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Course Credentialing: Successfully completing all module assessments on ibmcep.cognitiveclass.ai and AdroIT Prolearn, earning official course completion certificates.</w:t>
      </w:r>
    </w:p>
    <w:p>
      <w:pPr>
        <w:keepNext/>
        <w:spacing w:before="200" w:after="60"/>
        <w:jc w:val="left"/>
      </w:pPr>
      <w:r>
        <w:rPr>
          <w:rFonts w:ascii="Times New Roman" w:hAnsi="Times New Roman"/>
          <w:b/>
          <w:sz w:val="28"/>
        </w:rPr>
        <w:t>1.5 Organization of the Report</w:t>
      </w:r>
    </w:p>
    <w:p>
      <w:pPr>
        <w:spacing w:before="0" w:after="60" w:line="324" w:lineRule="auto"/>
        <w:jc w:val="both"/>
      </w:pPr>
      <w:r>
        <w:rPr>
          <w:rFonts w:ascii="Times New Roman" w:hAnsi="Times New Roman"/>
          <w:sz w:val="24"/>
        </w:rPr>
        <w:t>The remainder of this report is organized into the following chapters: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Chapter 2 details the theoretical foundations and course curriculum, covering neural networks, activation functions, prompt engineering, transformer attention mechanics, GANs, VAEs, diffusion models, speech processing, data engineering lifecycles, and responsible AI frameworks.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Chapter 3 presents the detailed technical implementation of the coursework, Assignment 1 laboratory experiments, and complete step-by-step documentation of Mini Project 1 and Mini Project 2, supported by data tables, architecture diagrams, and experimental figures.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Chapter 4 concludes the report with a summary of technical learnings, challenges faced during development, practical significance to data science engineering, and avenues for future enhancement.</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References and Appendix I provide IEEE formatted bibliography entries, verification links, and selected code listings.</w:t>
      </w:r>
    </w:p>
    <w:p>
      <w:r>
        <w:br w:type="page"/>
      </w:r>
    </w:p>
    <w:p>
      <w:pPr>
        <w:keepNext/>
        <w:spacing w:before="240" w:after="120"/>
        <w:jc w:val="center"/>
      </w:pPr>
      <w:r>
        <w:rPr>
          <w:rFonts w:ascii="Times New Roman" w:hAnsi="Times New Roman"/>
          <w:b/>
          <w:sz w:val="32"/>
        </w:rPr>
        <w:t>2 THEORETICAL FOUNDATIONS AND COURSE WORK</w:t>
      </w:r>
    </w:p>
    <w:p>
      <w:pPr>
        <w:keepNext/>
        <w:spacing w:before="200" w:after="60"/>
        <w:jc w:val="left"/>
      </w:pPr>
      <w:r>
        <w:rPr>
          <w:rFonts w:ascii="Times New Roman" w:hAnsi="Times New Roman"/>
          <w:b/>
          <w:sz w:val="28"/>
        </w:rPr>
        <w:t>2.1 Deep Learning Foundations and Neural Networks</w:t>
      </w:r>
    </w:p>
    <w:p>
      <w:pPr>
        <w:spacing w:before="0" w:after="60" w:line="324" w:lineRule="auto"/>
        <w:jc w:val="both"/>
      </w:pPr>
      <w:r>
        <w:rPr>
          <w:rFonts w:ascii="Times New Roman" w:hAnsi="Times New Roman"/>
          <w:sz w:val="24"/>
        </w:rPr>
        <w:t>Modern Generative AI is built upon deep neural networks, which are inspired by biological nervous systems. The fundamental computational unit of a neural network is the artificial neuron, originally modeled as the perceptron by Frank Rosenblatt. A neuron receives an input vector X = [x1, x2, ..., xn], computes a weighted linear combination by multiplying each input by its associated weight W = [w1, w2, ..., wn], adds a scalar bias term b, and passes the net input z through a non-linear activation function f(z):</w:t>
      </w:r>
    </w:p>
    <w:p>
      <w:pPr>
        <w:spacing w:before="0" w:after="60" w:line="324" w:lineRule="auto"/>
        <w:jc w:val="center"/>
      </w:pPr>
      <w:r>
        <w:rPr>
          <w:rFonts w:ascii="Times New Roman" w:hAnsi="Times New Roman"/>
          <w:sz w:val="24"/>
        </w:rPr>
        <w:t>z = W · X + b = sum(wi * xi) + b,    output = f(z)</w:t>
      </w:r>
    </w:p>
    <w:p>
      <w:pPr>
        <w:spacing w:before="0" w:after="60" w:line="324" w:lineRule="auto"/>
        <w:jc w:val="both"/>
      </w:pPr>
      <w:r>
        <w:rPr>
          <w:rFonts w:ascii="Times New Roman" w:hAnsi="Times New Roman"/>
          <w:sz w:val="24"/>
        </w:rPr>
        <w:t>Without non-linear activation functions, a multilayer neural network would merely collapse into a single linear transformation, regardless of how many hidden layers are stacked together. During Unit 1, we studied and implemented several key activation functions in Python: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Sigmoid Activation: </w:t>
      </w:r>
      <w:r>
        <w:rPr>
          <w:rFonts w:ascii="Times New Roman" w:hAnsi="Times New Roman"/>
          <w:sz w:val="24"/>
        </w:rPr>
        <w:t>Sigmoid: Maps real-valued numbers into the range (0, 1) using sigma(z) = 1 / (1 + exp(-z)). While useful for modeling probabilities in binary classification, it suffers from the vanishing gradient problem when inputs are very large or very small, because its derivative approaches zero.</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Tanh Activation: </w:t>
      </w:r>
      <w:r>
        <w:rPr>
          <w:rFonts w:ascii="Times New Roman" w:hAnsi="Times New Roman"/>
          <w:sz w:val="24"/>
        </w:rPr>
        <w:t>Hyperbolic Tangent (Tanh): Maps values into (-1, 1) using tanh(z) = (exp(z) - exp(-z)) / (exp(z) + exp(-z)). It is zero-centered, making optimization in hidden layers faster than Sigmoid, but still susceptible to vanishing gradients at extreme values.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ReLU Activation: </w:t>
      </w:r>
      <w:r>
        <w:rPr>
          <w:rFonts w:ascii="Times New Roman" w:hAnsi="Times New Roman"/>
          <w:sz w:val="24"/>
        </w:rPr>
        <w:t>Rectified Linear Unit (ReLU): Defined as f(z) = max(0, z). ReLU avoids vanishing gradients for positive inputs, accelerates convergence during gradient descent, and introduces computational sparsity, making it the industry standard for intermediate hidden layers in modern deep learning.</w:t>
      </w:r>
    </w:p>
    <w:p>
      <w:pPr>
        <w:spacing w:before="0" w:after="60" w:line="324" w:lineRule="auto"/>
        <w:jc w:val="both"/>
      </w:pPr>
      <w:r>
        <w:rPr>
          <w:rFonts w:ascii="Times New Roman" w:hAnsi="Times New Roman"/>
          <w:sz w:val="24"/>
        </w:rPr>
        <w:t>Training a neural network relies on backpropagation, where the error between the model's prediction and the ground truth is quantified using a loss function (such as Binary Cross-Entropy for classification or Mean Squared Error for regression). The partial derivatives of the loss with respect to each weight are calculated via the calculus chain rule and propagated backward through the network, allowing optimization algorithms like Stochastic Gradient Descent (SGD) and Adam to adjust the weights iteratively.</w:t>
      </w:r>
    </w:p>
    <w:p>
      <w:pPr>
        <w:keepNext/>
        <w:spacing w:before="200" w:after="60"/>
        <w:jc w:val="left"/>
      </w:pPr>
      <w:r>
        <w:rPr>
          <w:rFonts w:ascii="Times New Roman" w:hAnsi="Times New Roman"/>
          <w:b/>
          <w:sz w:val="28"/>
        </w:rPr>
        <w:t>2.2 Prompt Engineering Principles and Techniques</w:t>
      </w:r>
    </w:p>
    <w:p>
      <w:pPr>
        <w:spacing w:before="0" w:after="60" w:line="324" w:lineRule="auto"/>
        <w:jc w:val="both"/>
      </w:pPr>
      <w:r>
        <w:rPr>
          <w:rFonts w:ascii="Times New Roman" w:hAnsi="Times New Roman"/>
          <w:sz w:val="24"/>
        </w:rPr>
        <w:t>Prompt engineering is the practice of designing, structuring, and refining natural language inputs to guide large language models toward producing accurate, relevant, and format-compliant outputs. In Unit 2, we analyzed the anatomy of an effective enterprise prompt, which consists of four core building blocks: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1. Instruction: </w:t>
      </w:r>
      <w:r>
        <w:rPr>
          <w:rFonts w:ascii="Times New Roman" w:hAnsi="Times New Roman"/>
          <w:sz w:val="24"/>
        </w:rPr>
        <w:t>Instruction: The explicit command or imperative verb specifying the task (e.g., 'Extract', 'Summarize', 'Convert', 'Generate SQL').</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2. Context: </w:t>
      </w:r>
      <w:r>
        <w:rPr>
          <w:rFonts w:ascii="Times New Roman" w:hAnsi="Times New Roman"/>
          <w:sz w:val="24"/>
        </w:rPr>
        <w:t>Context: The background scenario, business domain, constraints, or persona that grounds the model's reasoning.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3. Input Data: </w:t>
      </w:r>
      <w:r>
        <w:rPr>
          <w:rFonts w:ascii="Times New Roman" w:hAnsi="Times New Roman"/>
          <w:sz w:val="24"/>
        </w:rPr>
        <w:t>Input Data: The raw text, table, user feedback, or code snippet that needs processing.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4. Output Indicator: </w:t>
      </w:r>
      <w:r>
        <w:rPr>
          <w:rFonts w:ascii="Times New Roman" w:hAnsi="Times New Roman"/>
          <w:sz w:val="24"/>
        </w:rPr>
        <w:t>Output Indicator: The required output format, such as JSON, Markdown table, comma-separated list, or code cell.</w:t>
      </w:r>
    </w:p>
    <w:p>
      <w:pPr>
        <w:spacing w:before="0" w:after="60" w:line="324" w:lineRule="auto"/>
        <w:jc w:val="both"/>
      </w:pPr>
      <w:r>
        <w:rPr>
          <w:rFonts w:ascii="Times New Roman" w:hAnsi="Times New Roman"/>
          <w:sz w:val="24"/>
        </w:rPr>
        <w:t>We evaluated four major prompting strategies across reasoning and extraction tasks: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Zero-shot: </w:t>
      </w:r>
      <w:r>
        <w:rPr>
          <w:rFonts w:ascii="Times New Roman" w:hAnsi="Times New Roman"/>
          <w:sz w:val="24"/>
        </w:rPr>
        <w:t>Zero-shot Prompting: The model is given a direct instruction without any previous examples. This tests the model's base pre-trained knowledge but can produce variable formatting on complex tasks.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Few-shot: </w:t>
      </w:r>
      <w:r>
        <w:rPr>
          <w:rFonts w:ascii="Times New Roman" w:hAnsi="Times New Roman"/>
          <w:sz w:val="24"/>
        </w:rPr>
        <w:t>Few-shot Prompting: Providing two or three high-quality input-output demonstrations within the prompt context. This in-context learning guides the model to adopt the exact output style and reasoning structure desired without fine-tuning weights.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Chain-of-Thought: </w:t>
      </w:r>
      <w:r>
        <w:rPr>
          <w:rFonts w:ascii="Times New Roman" w:hAnsi="Times New Roman"/>
          <w:sz w:val="24"/>
        </w:rPr>
        <w:t>Chain-of-Thought (CoT) Prompting: Instructing the model to 'think step by step' before answering. CoT decomposes complex reasoning tasks into intermediate logical steps, significantly reducing mathematical and logical hallucination rates.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Tree-of-Thought: </w:t>
      </w:r>
      <w:r>
        <w:rPr>
          <w:rFonts w:ascii="Times New Roman" w:hAnsi="Times New Roman"/>
          <w:sz w:val="24"/>
        </w:rPr>
        <w:t>Tree-of-Thought (ToT) Prompting: Allowing the model to generate multiple possible reasoning paths, evaluate the feasibility of each branch, backtrack if a path is invalid, and arrive at the optimal solution. This approach is especially valuable for architecture design and algorithmic problem solving.</w:t>
      </w:r>
    </w:p>
    <w:p>
      <w:pPr>
        <w:keepNext/>
        <w:spacing w:before="200" w:after="60"/>
        <w:jc w:val="left"/>
      </w:pPr>
      <w:r>
        <w:rPr>
          <w:rFonts w:ascii="Times New Roman" w:hAnsi="Times New Roman"/>
          <w:b/>
          <w:sz w:val="28"/>
        </w:rPr>
        <w:t>2.3 Foundation Models and Transformer Architectures</w:t>
      </w:r>
    </w:p>
    <w:p>
      <w:pPr>
        <w:spacing w:before="0" w:after="60" w:line="324" w:lineRule="auto"/>
        <w:jc w:val="both"/>
      </w:pPr>
      <w:r>
        <w:rPr>
          <w:rFonts w:ascii="Times New Roman" w:hAnsi="Times New Roman"/>
          <w:sz w:val="24"/>
        </w:rPr>
        <w:t>The modern era of Generative AI began with the introduction of the Transformer architecture by Vaswani et al. in 2017 ('Attention Is All You Need'). Prior to transformers, recurrent neural networks (RNNs and LSTMs) processed sequences sequentially step-by-step, which created computational bottlenecks and caused models to forget early context in long text passages.</w:t>
      </w:r>
    </w:p>
    <w:p>
      <w:pPr>
        <w:spacing w:before="0" w:after="60" w:line="324" w:lineRule="auto"/>
        <w:jc w:val="both"/>
      </w:pPr>
      <w:r>
        <w:rPr>
          <w:rFonts w:ascii="Times New Roman" w:hAnsi="Times New Roman"/>
          <w:sz w:val="24"/>
        </w:rPr>
        <w:t>The Transformer replaced recurrence entirely with the Self-Attention mechanism. For each token in an input sequence, the model computes three vectors: Query (Q), Key (K), and Value (V) by multiplying the token embedding with learned projection matrices. The attention weight between tokens is computed using scaled dot-product attention:</w:t>
      </w:r>
    </w:p>
    <w:p>
      <w:pPr>
        <w:spacing w:before="0" w:after="60" w:line="324" w:lineRule="auto"/>
        <w:jc w:val="center"/>
      </w:pPr>
      <w:r>
        <w:rPr>
          <w:rFonts w:ascii="Times New Roman" w:hAnsi="Times New Roman"/>
          <w:sz w:val="24"/>
        </w:rPr>
        <w:t>Attention(Q, K, V) = softmax((Q · K^T) / sqrt(dk)) · V</w:t>
      </w:r>
    </w:p>
    <w:p>
      <w:pPr>
        <w:spacing w:before="0" w:after="60" w:line="324" w:lineRule="auto"/>
        <w:jc w:val="both"/>
      </w:pPr>
      <w:r>
        <w:rPr>
          <w:rFonts w:ascii="Times New Roman" w:hAnsi="Times New Roman"/>
          <w:sz w:val="24"/>
        </w:rPr>
        <w:t>Dividing by the square root of the key dimension dk prevents the dot products from growing excessively large, which would push the softmax function into regions with tiny gradients. Multi-Head Attention runs multiple parallel attention heads, allowing the model to simultaneously attend to syntax, semantics, and factual associations across different representation subspaces.</w:t>
      </w:r>
    </w:p>
    <w:p>
      <w:pPr>
        <w:spacing w:before="0" w:after="60" w:line="324" w:lineRule="auto"/>
        <w:jc w:val="both"/>
      </w:pPr>
      <w:r>
        <w:rPr>
          <w:rFonts w:ascii="Times New Roman" w:hAnsi="Times New Roman"/>
          <w:sz w:val="24"/>
        </w:rPr>
        <w:t>Transformer architectures split into three primary branches: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Encoder Models: </w:t>
      </w:r>
      <w:r>
        <w:rPr>
          <w:rFonts w:ascii="Times New Roman" w:hAnsi="Times New Roman"/>
          <w:sz w:val="24"/>
        </w:rPr>
        <w:t>Encoder-Only Models (e.g., BERT): Process bidirectional context, making them ideal for sentence classification, named entity recognition, and extractive question answering.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Decoder Models: </w:t>
      </w:r>
      <w:r>
        <w:rPr>
          <w:rFonts w:ascii="Times New Roman" w:hAnsi="Times New Roman"/>
          <w:sz w:val="24"/>
        </w:rPr>
        <w:t>Decoder-Only Models (e.g., GPT-2, IBM Granite): Use causal masking so that each token can only attend to earlier tokens. This makes them suited for autoregressive text generation, code completion, and conversational AI.</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Encoder-Decoder Models: </w:t>
      </w:r>
      <w:r>
        <w:rPr>
          <w:rFonts w:ascii="Times New Roman" w:hAnsi="Times New Roman"/>
          <w:sz w:val="24"/>
        </w:rPr>
        <w:t>Encoder-Decoder Models (e.g., T5, Whisper): Take an input sequence through an encoder and generate a transformed sequence through a decoder, suited for machine translation and speech recognition.</w:t>
      </w:r>
    </w:p>
    <w:p>
      <w:pPr>
        <w:spacing w:before="0" w:after="60" w:line="324" w:lineRule="auto"/>
        <w:jc w:val="both"/>
      </w:pPr>
      <w:r>
        <w:rPr>
          <w:rFonts w:ascii="Times New Roman" w:hAnsi="Times New Roman"/>
          <w:sz w:val="24"/>
        </w:rPr>
        <w:t>In Unit 3, we studied tokenization mechanics using Byte Pair Encoding (BPE) via OpenAI's tiktoken library. Language models do not process characters or words directly; instead, they map text fragments to integer token IDs based on statistical frequency. We also examined IBM's open-source enterprise foundation model, IBM Granite 3.1 (2B Instruct), exploring its local inference pipeline and chat template formatting.</w:t>
      </w:r>
    </w:p>
    <w:p>
      <w:pPr>
        <w:keepNext/>
        <w:spacing w:before="200" w:after="60"/>
        <w:jc w:val="left"/>
      </w:pPr>
      <w:r>
        <w:rPr>
          <w:rFonts w:ascii="Times New Roman" w:hAnsi="Times New Roman"/>
          <w:b/>
          <w:sz w:val="28"/>
        </w:rPr>
        <w:t>2.4 Generative Architectures and Paradigms</w:t>
      </w:r>
    </w:p>
    <w:p>
      <w:pPr>
        <w:spacing w:before="0" w:after="60" w:line="324" w:lineRule="auto"/>
        <w:jc w:val="both"/>
      </w:pPr>
      <w:r>
        <w:rPr>
          <w:rFonts w:ascii="Times New Roman" w:hAnsi="Times New Roman"/>
          <w:sz w:val="24"/>
        </w:rPr>
        <w:t>Beyond text generation, Unit 4 examined architectures designed to generate continuous, high-dimensional media such as images and audio:</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GANs: </w:t>
      </w:r>
      <w:r>
        <w:rPr>
          <w:rFonts w:ascii="Times New Roman" w:hAnsi="Times New Roman"/>
          <w:sz w:val="24"/>
        </w:rPr>
        <w:t>Generative Adversarial Networks (GANs): Introduced by Ian Goodfellow, a GAN pits two neural networks against each other in a zero-sum game. The Generator G takes a random noise vector z and attempts to synthesize realistic samples G(z). The Discriminator D evaluates real data x versus fake data G(z) and outputs a probability D(x) of the sample being authentic. The networks are trained together using the minimax loss function: min_G max_D E[log D(x)] + E[log(1 - D(G(z)))]. During our lab sessions, we trained a GAN on the MNIST handwritten digit dataset, tracking how the generator progressed from generating random noise into producing recognizable digits.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VAEs: </w:t>
      </w:r>
      <w:r>
        <w:rPr>
          <w:rFonts w:ascii="Times New Roman" w:hAnsi="Times New Roman"/>
          <w:sz w:val="24"/>
        </w:rPr>
        <w:t>Variational Autoencoders (VAEs): VAEs map input images into a probabilistic latent space parameterized by a mean vector mu and a log-variance vector log_var. Instead of deterministic encoding, the model samples latent vectors using the reparameterization trick: z = mu + sigma * epsilon, where epsilon is standard normal noise. The objective function balances pixel-level reconstruction loss with the Kullback-Leibler (KL) divergence, which regularizes the latent space toward a standard Gaussian distribution, enabling smooth interpolation between generated samples.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Diffusion Models: </w:t>
      </w:r>
      <w:r>
        <w:rPr>
          <w:rFonts w:ascii="Times New Roman" w:hAnsi="Times New Roman"/>
          <w:sz w:val="24"/>
        </w:rPr>
        <w:t>Latent Diffusion Models (Stable Diffusion): Diffusion models work by gradually adding Gaussian noise to an image over T timesteps (forward process) until it becomes pure noise, and then training a neural network (typically a U-Net) to predict and subtract the added noise step by step (reverse process). To make this computationally feasible, Latent Diffusion Models compress images into a lower-dimensional latent space using a pretrained autoencoder, run the denoising process in latent space conditioned on text embeddings from a CLIP text encoder, and decode the final latent representation back into high-resolution pixels.</w:t>
      </w:r>
    </w:p>
    <w:p>
      <w:pPr>
        <w:keepNext/>
        <w:spacing w:before="200" w:after="60"/>
        <w:jc w:val="left"/>
      </w:pPr>
      <w:r>
        <w:rPr>
          <w:rFonts w:ascii="Times New Roman" w:hAnsi="Times New Roman"/>
          <w:b/>
          <w:sz w:val="28"/>
        </w:rPr>
        <w:t>2.5 Audio Processing and Multimodal Systems</w:t>
      </w:r>
    </w:p>
    <w:p>
      <w:pPr>
        <w:spacing w:before="0" w:after="60" w:line="324" w:lineRule="auto"/>
        <w:jc w:val="both"/>
      </w:pPr>
      <w:r>
        <w:rPr>
          <w:rFonts w:ascii="Times New Roman" w:hAnsi="Times New Roman"/>
          <w:sz w:val="24"/>
        </w:rPr>
        <w:t>Audio processing in Generative AI was covered using OpenAI's Whisper model. Whisper is an encoder-decoder transformer trained on over 680,000 hours of multilingual, multitask supervised audio data collected from the web. The model takes raw audio waveforms, converts them into 80-channel log-magnitude Mel spectrograms, and feeds them into a transformer encoder. The decoder then autoregressively generates the corresponding transcript tokens, prepended with special tokens indicating the task (e.g., transcribe vs translate) and language.</w:t>
      </w:r>
    </w:p>
    <w:p>
      <w:pPr>
        <w:spacing w:before="0" w:after="60" w:line="324" w:lineRule="auto"/>
        <w:jc w:val="both"/>
      </w:pPr>
      <w:r>
        <w:rPr>
          <w:rFonts w:ascii="Times New Roman" w:hAnsi="Times New Roman"/>
          <w:sz w:val="24"/>
        </w:rPr>
        <w:t>In our hands-on labs, we tested Whisper's capabilities for audio transcription and cross-lingual translation. We demonstrated how the model handles audio in languages like Hindi and translates spoken phrases directly into English text, highlighting its robustness against background noise and varied accents.</w:t>
      </w:r>
    </w:p>
    <w:p>
      <w:pPr>
        <w:keepNext/>
        <w:spacing w:before="200" w:after="60"/>
        <w:jc w:val="left"/>
      </w:pPr>
      <w:r>
        <w:rPr>
          <w:rFonts w:ascii="Times New Roman" w:hAnsi="Times New Roman"/>
          <w:b/>
          <w:sz w:val="28"/>
        </w:rPr>
        <w:t>2.6 GenAI in Data Engineering and Software Lifecycle</w:t>
      </w:r>
    </w:p>
    <w:p>
      <w:pPr>
        <w:spacing w:before="0" w:after="60" w:line="324" w:lineRule="auto"/>
        <w:jc w:val="both"/>
      </w:pPr>
      <w:r>
        <w:rPr>
          <w:rFonts w:ascii="Times New Roman" w:hAnsi="Times New Roman"/>
          <w:sz w:val="24"/>
        </w:rPr>
        <w:t>Units 4 and 5 focused on operationalizing Generative AI across data engineering and software development lifecycles: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Data Engineering: </w:t>
      </w:r>
      <w:r>
        <w:rPr>
          <w:rFonts w:ascii="Times New Roman" w:hAnsi="Times New Roman"/>
          <w:sz w:val="24"/>
        </w:rPr>
        <w:t>Data Engineering Lifecycle: GenAI assists data engineers at every step, from designing normalized third-normal-form (3NF) relational schemas to generating synthetic test datasets with realistic statistical properties. Automated profiling tools like ydata-profiling and autoviz were integrated with generative assistants to quickly summarize distributions, identify missing data patterns, and surface outlier values.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SDLC Acceleration: </w:t>
      </w:r>
      <w:r>
        <w:rPr>
          <w:rFonts w:ascii="Times New Roman" w:hAnsi="Times New Roman"/>
          <w:sz w:val="24"/>
        </w:rPr>
        <w:t>Software Development Life Cycle (SDLC): The traditional SDLC involves sequential phases of requirements elicitation, UI design, architectural drafting, development, unit testing, deployment, and maintenance. GenAI accelerates each of these phases: ChatGPT extracts functional requirements from unstructured user feedback; Visily generates wireframes from natural language briefs; Eraser.io generates multi-tier architecture and ER diagrams; Colab automates Python business logic and database CRUD operations; test generators build automated test suites; and predictive algorithms forecast server resource exhaustion based on telemetry data.</w:t>
      </w:r>
    </w:p>
    <w:p>
      <w:pPr>
        <w:keepNext/>
        <w:spacing w:before="200" w:after="60"/>
        <w:jc w:val="left"/>
      </w:pPr>
      <w:r>
        <w:rPr>
          <w:rFonts w:ascii="Times New Roman" w:hAnsi="Times New Roman"/>
          <w:b/>
          <w:sz w:val="28"/>
        </w:rPr>
        <w:t>2.7 Responsible AI, Security, and Governance</w:t>
      </w:r>
    </w:p>
    <w:p>
      <w:pPr>
        <w:spacing w:before="0" w:after="60" w:line="324" w:lineRule="auto"/>
        <w:jc w:val="both"/>
      </w:pPr>
      <w:r>
        <w:rPr>
          <w:rFonts w:ascii="Times New Roman" w:hAnsi="Times New Roman"/>
          <w:sz w:val="24"/>
        </w:rPr>
        <w:t>As Generative AI becomes embedded into mission-critical software, responsible AI governance and security frameworks are essential. IBM structures responsible AI governance around five foundational pillars of trust:</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1. Explainability: </w:t>
      </w:r>
      <w:r>
        <w:rPr>
          <w:rFonts w:ascii="Times New Roman" w:hAnsi="Times New Roman"/>
          <w:sz w:val="24"/>
        </w:rPr>
        <w:t>Explainability: AI-assisted predictions must provide clear, understandable reasoning rather than functioning as opaque black boxes. In tabular modeling, methods like SHAP provide mathematical feature attribution to satisfy regulatory audits.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2. Fairness: </w:t>
      </w:r>
      <w:r>
        <w:rPr>
          <w:rFonts w:ascii="Times New Roman" w:hAnsi="Times New Roman"/>
          <w:sz w:val="24"/>
        </w:rPr>
        <w:t>Fairness: Models must be examined for systemic demographic bias to ensure equitable treatment across protected attributes like age, gender, and ethnicity.</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3. Robustness: </w:t>
      </w:r>
      <w:r>
        <w:rPr>
          <w:rFonts w:ascii="Times New Roman" w:hAnsi="Times New Roman"/>
          <w:sz w:val="24"/>
        </w:rPr>
        <w:t>Robustness: Systems must withstand adversarial attacks, unexpected data drift, out-of-range sensor readings, and malicious prompt injections.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4. Transparency: </w:t>
      </w:r>
      <w:r>
        <w:rPr>
          <w:rFonts w:ascii="Times New Roman" w:hAnsi="Times New Roman"/>
          <w:sz w:val="24"/>
        </w:rPr>
        <w:t>Transparency: Complete provenance regarding training datasets, model versions, evaluation metrics, and AI-generated code must be recorded and auditable.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5. Privacy: </w:t>
      </w:r>
      <w:r>
        <w:rPr>
          <w:rFonts w:ascii="Times New Roman" w:hAnsi="Times New Roman"/>
          <w:sz w:val="24"/>
        </w:rPr>
        <w:t>Privacy: Sensitive user data, confidential enterprise records, and personal health information must be protected through anonymization, differential privacy, and strict access controls.</w:t>
      </w:r>
    </w:p>
    <w:p>
      <w:pPr>
        <w:spacing w:before="0" w:after="60" w:line="324" w:lineRule="auto"/>
        <w:jc w:val="both"/>
      </w:pPr>
      <w:r>
        <w:rPr>
          <w:rFonts w:ascii="Times New Roman" w:hAnsi="Times New Roman"/>
          <w:sz w:val="24"/>
        </w:rPr>
        <w:t>In cybersecurity, GenAI is applied within Security Information and Event Management (SIEM) systems like IBM QRadar, using User and Entity Behavior Analytics (UEBA) and Security Orchestration, Automation, and Response (SOAR) playbooks to detect anomalies, analyze attack vectors, and automate threat mitigation.</w:t>
      </w:r>
    </w:p>
    <w:p>
      <w:r>
        <w:br w:type="page"/>
      </w:r>
    </w:p>
    <w:p>
      <w:pPr>
        <w:keepNext/>
        <w:spacing w:before="240" w:after="120"/>
        <w:jc w:val="center"/>
      </w:pPr>
      <w:r>
        <w:rPr>
          <w:rFonts w:ascii="Times New Roman" w:hAnsi="Times New Roman"/>
          <w:b/>
          <w:sz w:val="32"/>
        </w:rPr>
        <w:t>3 TECHNICAL IMPLEMENTATION AND MINI PROJECTS</w:t>
      </w:r>
    </w:p>
    <w:p>
      <w:pPr>
        <w:keepNext/>
        <w:spacing w:before="200" w:after="60"/>
        <w:jc w:val="left"/>
      </w:pPr>
      <w:r>
        <w:rPr>
          <w:rFonts w:ascii="Times New Roman" w:hAnsi="Times New Roman"/>
          <w:b/>
          <w:sz w:val="28"/>
        </w:rPr>
        <w:t>3.1 Practical Coursework Exercises and Assignment 1</w:t>
      </w:r>
    </w:p>
    <w:p>
      <w:pPr>
        <w:spacing w:before="0" w:after="60" w:line="324" w:lineRule="auto"/>
        <w:jc w:val="both"/>
      </w:pPr>
      <w:r>
        <w:rPr>
          <w:rFonts w:ascii="Times New Roman" w:hAnsi="Times New Roman"/>
          <w:sz w:val="24"/>
        </w:rPr>
        <w:t>Assignment 1 focused on building practical competence across foundation models and transformer pipelines through five programming questions and laboratory exercises: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1: </w:t>
      </w:r>
      <w:r>
        <w:rPr>
          <w:rFonts w:ascii="Times New Roman" w:hAnsi="Times New Roman"/>
          <w:sz w:val="24"/>
        </w:rPr>
        <w:t>Question 1 (Sentiment Analysis): Implemented using the Hugging Face transformers pipeline with a fine-tuned DistilBERT model. Four test sentences were evaluated, successfully classifying positive and negative sentiments with confidence scores exceeding 0.999.</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2: </w:t>
      </w:r>
      <w:r>
        <w:rPr>
          <w:rFonts w:ascii="Times New Roman" w:hAnsi="Times New Roman"/>
          <w:sz w:val="24"/>
        </w:rPr>
        <w:t>Question 2 (Text Completion with GPT-2): Configured a causal text generation pipeline using GPT-2. Evaluated three distinct prompts ('Artificial intelligence is', 'The best way to learn programming is', 'In the future, robots will') with max_new_tokens=40, do_sample=True, and temperature=0.8 to generate diverse completions.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3: </w:t>
      </w:r>
      <w:r>
        <w:rPr>
          <w:rFonts w:ascii="Times New Roman" w:hAnsi="Times New Roman"/>
          <w:sz w:val="24"/>
        </w:rPr>
        <w:t>Question 3 (Masked Language Modeling with BERT): Used bert-base-uncased to predict masked tokens in sentences such as 'The student is studying for the [MASK] exam.' The model returned top predictions like 'final' (45.2%), 'board' (22.1%), and 'entrance' (12.3%).</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4: </w:t>
      </w:r>
      <w:r>
        <w:rPr>
          <w:rFonts w:ascii="Times New Roman" w:hAnsi="Times New Roman"/>
          <w:sz w:val="24"/>
        </w:rPr>
        <w:t>Question 4 (Tokenization with tiktoken): Tokenized sentences using OpenAI's tiktoken gpt-4 BPE encoding, demonstrating the translation of words into integer token IDs and verifying exact reconstruction through decoding.</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Question 5: </w:t>
      </w:r>
      <w:r>
        <w:rPr>
          <w:rFonts w:ascii="Times New Roman" w:hAnsi="Times New Roman"/>
          <w:sz w:val="24"/>
        </w:rPr>
        <w:t>Question 5 (Hugging Face Model Discovery): Programmatically queried the Hugging Face Hub using HfApi to fetch the top 3 downloaded models for text-generation (gpt2, meta-llama/Llama-2-7b, mistralai/Mistral-7B) and sentiment-analysis (distilbert-base-uncased, cardiffnlp/twitter-roberta, nlptown/bert-multilingual).</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Advanced Labs: </w:t>
      </w:r>
      <w:r>
        <w:rPr>
          <w:rFonts w:ascii="Times New Roman" w:hAnsi="Times New Roman"/>
          <w:sz w:val="24"/>
        </w:rPr>
        <w:t>Advanced Labs: Implemented local inference with IBM Granite 3.1 (2B Instruct), visualized self-attention heads using BertViz, trained a GAN to generate synthetic handwritten digits on MNIST, sampled latent spaces using a VAE, synthesized images with Stable Diffusion, and transcribed multilingual audio using OpenAI Whisper.</w:t>
      </w:r>
    </w:p>
    <w:p>
      <w:pPr>
        <w:keepNext/>
        <w:spacing w:before="200" w:after="60"/>
        <w:jc w:val="left"/>
      </w:pPr>
      <w:r>
        <w:rPr>
          <w:rFonts w:ascii="Times New Roman" w:hAnsi="Times New Roman"/>
          <w:b/>
          <w:sz w:val="28"/>
        </w:rPr>
        <w:t>3.2 Mini Project 1: Data Science with Generative AI</w:t>
      </w:r>
    </w:p>
    <w:p>
      <w:pPr>
        <w:spacing w:before="0" w:after="60" w:line="324" w:lineRule="auto"/>
        <w:jc w:val="both"/>
      </w:pPr>
      <w:r>
        <w:rPr>
          <w:rFonts w:ascii="Times New Roman" w:hAnsi="Times New Roman"/>
          <w:i/>
          <w:sz w:val="24"/>
        </w:rPr>
        <w:t xml:space="preserve">Clinical Case Study: </w:t>
      </w:r>
      <w:r>
        <w:rPr>
          <w:rFonts w:ascii="Times New Roman" w:hAnsi="Times New Roman"/>
          <w:sz w:val="24"/>
        </w:rPr>
        <w:t>Mini Project 1 involved developing a complete Heart Disease Prediction Pipeline using Generative AI to guide data engineering, database normalization, exploratory data analysis, hypothesis testing, model training, explainability, and hyperparameter tuning.</w:t>
      </w:r>
    </w:p>
    <w:p>
      <w:pPr>
        <w:keepNext/>
        <w:spacing w:before="160" w:after="40"/>
        <w:jc w:val="left"/>
      </w:pPr>
      <w:r>
        <w:rPr>
          <w:rFonts w:ascii="Times New Roman" w:hAnsi="Times New Roman"/>
          <w:b/>
          <w:sz w:val="24"/>
        </w:rPr>
        <w:t>3.2.1 Problem Definition and UCI Cleveland Dataset</w:t>
      </w:r>
    </w:p>
    <w:p>
      <w:pPr>
        <w:spacing w:before="0" w:after="60" w:line="324" w:lineRule="auto"/>
        <w:jc w:val="both"/>
      </w:pPr>
      <w:r>
        <w:rPr>
          <w:rFonts w:ascii="Times New Roman" w:hAnsi="Times New Roman"/>
          <w:sz w:val="24"/>
        </w:rPr>
        <w:t>Heart disease remains one of the leading causes of mortality worldwide. Early and accurate detection based on patient vitals and diagnostic tests can significantly improve clinical outcomes. For this project, the UCI Heart Disease dataset (Cleveland database) was selected. The dataset contains 303 patient records and 14 clinical attributes: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Demographic and baseline attributes: age (patient age in years), sex (1 = male, 0 = female), cp (chest pain type: 1 = typical angina, 2 = atypical angina, 3 = non-anginal pain, 4 = asymptomatic).</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Resting clinical vitals: trestbps (resting blood pressure in mm Hg), chol (serum cholesterol in mg/dl), fbs (fasting blood sugar &gt; 120 mg/dl: 1 = true, 0 = false), restecg (resting electrocardiographic results: 0, 1, 2).</w:t>
      </w:r>
    </w:p>
    <w:p>
      <w:pPr>
        <w:spacing w:before="0" w:after="50" w:line="312" w:lineRule="auto"/>
        <w:ind w:left="288"/>
        <w:jc w:val="both"/>
      </w:pPr>
      <w:r>
        <w:rPr>
          <w:rFonts w:ascii="Times New Roman" w:hAnsi="Times New Roman"/>
          <w:sz w:val="24"/>
        </w:rPr>
        <w:t xml:space="preserve">•  </w:t>
      </w:r>
      <w:r>
        <w:rPr>
          <w:rFonts w:ascii="Times New Roman" w:hAnsi="Times New Roman"/>
          <w:sz w:val="24"/>
        </w:rPr>
        <w:t>Exercise stress test vitals: thalch (maximum heart rate achieved), exang (exercise-induced angina: 1 = yes, 0 = no), oldpeak (ST depression induced by exercise relative to rest), slope (slope of the peak exercise ST segment: 1 = upsloping, 2 = flat, 3 = downsloping).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Fluoroscopy and scan attributes: ca (number of major vessels colored by fluoroscopy: 0 to 3), thal (thalassemia: 3 = normal, 6 = fixed defect, 7 = reversible defect).</w:t>
      </w:r>
    </w:p>
    <w:p>
      <w:pPr>
        <w:spacing w:before="0" w:after="50" w:line="312" w:lineRule="auto"/>
        <w:ind w:left="288"/>
        <w:jc w:val="both"/>
      </w:pPr>
      <w:r>
        <w:rPr>
          <w:rFonts w:ascii="Times New Roman" w:hAnsi="Times New Roman"/>
          <w:sz w:val="24"/>
        </w:rPr>
        <w:t xml:space="preserve">•  </w:t>
      </w:r>
      <w:r>
        <w:rPr>
          <w:rFonts w:ascii="Times New Roman" w:hAnsi="Times New Roman"/>
          <w:sz w:val="24"/>
        </w:rPr>
        <w:t>Target: num (angiographic disease status from 0 to 4), which was mapped into a binary classification target (0 = absence of disease, 1 = presence of disease).</w:t>
      </w:r>
    </w:p>
    <w:p>
      <w:pPr>
        <w:keepNext/>
        <w:spacing w:before="160" w:after="40"/>
        <w:jc w:val="left"/>
      </w:pPr>
      <w:r>
        <w:rPr>
          <w:rFonts w:ascii="Times New Roman" w:hAnsi="Times New Roman"/>
          <w:b/>
          <w:sz w:val="24"/>
        </w:rPr>
        <w:t>3.2.2 Data Cleaning, ETL Pipeline, and 3NF Relational Database Design</w:t>
      </w:r>
    </w:p>
    <w:p>
      <w:pPr>
        <w:spacing w:before="0" w:after="60" w:line="324" w:lineRule="auto"/>
        <w:jc w:val="both"/>
      </w:pPr>
      <w:r>
        <w:rPr>
          <w:rFonts w:ascii="Times New Roman" w:hAnsi="Times New Roman"/>
          <w:sz w:val="24"/>
        </w:rPr>
        <w:t>The ETL pipeline was set up with a clean folder structure containing 'raw' and 'gold' directories. During the extract phase, the dataset was inspected for missing values. Missing values were detected in the ca and thal columns, which were handled by imputing ca with its median value and thal with its modal category. The clean dataset was then written to 'gold/clean_data.csv'.</w:t>
      </w:r>
    </w:p>
    <w:p>
      <w:pPr>
        <w:spacing w:before="0" w:after="60" w:line="324" w:lineRule="auto"/>
        <w:jc w:val="both"/>
      </w:pPr>
      <w:r>
        <w:rPr>
          <w:rFonts w:ascii="Times New Roman" w:hAnsi="Times New Roman"/>
          <w:sz w:val="24"/>
        </w:rPr>
        <w:t>To avoid flat-file data redundancy and enforce referential integrity, the dataset was normalized into a Third Normal Form (3NF) relational database using SQLite ('heart_disease.db'). The schema was partitioned into three related tables linked by a common patient_id primary key:</w:t>
      </w:r>
    </w:p>
    <w:p>
      <w:pPr>
        <w:keepNext/>
        <w:spacing w:before="120" w:after="40"/>
        <w:jc w:val="center"/>
      </w:pPr>
      <w:r>
        <w:rPr>
          <w:rFonts w:ascii="Times New Roman" w:hAnsi="Times New Roman"/>
          <w:b/>
          <w:sz w:val="21"/>
        </w:rPr>
        <w:t>Table 3.1: Heart Disease Normalized SQLite Database Schema (3NF Structure)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Table Name</w:t>
            </w:r>
          </w:p>
        </w:tc>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Primary Key</w:t>
            </w:r>
          </w:p>
        </w:tc>
        <w:tc>
          <w:tcPr>
            <w:tcW w:type="dxa" w:w="2016"/>
            <w:tcMar>
              <w:top w:w="42" w:type="dxa"/>
              <w:bottom w:w="42" w:type="dxa"/>
              <w:left w:w="70" w:type="dxa"/>
              <w:right w:w="70" w:type="dxa"/>
            </w:tcMar>
            <w:shd w:fill="EBF1F5"/>
            <w:vAlign w:val="center"/>
          </w:tcPr>
          <w:p>
            <w:pPr>
              <w:spacing w:before="0" w:after="0"/>
              <w:jc w:val="center"/>
            </w:pPr>
            <w:r>
              <w:rPr>
                <w:rFonts w:ascii="Times New Roman" w:hAnsi="Times New Roman"/>
                <w:b/>
                <w:sz w:val="20"/>
              </w:rPr>
              <w:t>Foreign Key</w:t>
            </w:r>
          </w:p>
        </w:tc>
        <w:tc>
          <w:tcPr>
            <w:tcW w:type="dxa" w:w="2448"/>
            <w:tcMar>
              <w:top w:w="42" w:type="dxa"/>
              <w:bottom w:w="42" w:type="dxa"/>
              <w:left w:w="70" w:type="dxa"/>
              <w:right w:w="70" w:type="dxa"/>
            </w:tcMar>
            <w:shd w:fill="EBF1F5"/>
            <w:vAlign w:val="center"/>
          </w:tcPr>
          <w:p>
            <w:pPr>
              <w:spacing w:before="0" w:after="0"/>
              <w:jc w:val="center"/>
            </w:pPr>
            <w:r>
              <w:rPr>
                <w:rFonts w:ascii="Times New Roman" w:hAnsi="Times New Roman"/>
                <w:b/>
                <w:sz w:val="20"/>
              </w:rPr>
              <w:t>Attributes Stored</w:t>
            </w:r>
          </w:p>
        </w:tc>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Integrity Constraints</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Patients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patient_id</w:t>
            </w:r>
          </w:p>
        </w:tc>
        <w:tc>
          <w:tcPr>
            <w:tcW w:type="dxa" w:w="2016"/>
            <w:tcMar>
              <w:top w:w="30" w:type="dxa"/>
              <w:bottom w:w="30" w:type="dxa"/>
              <w:left w:w="70" w:type="dxa"/>
              <w:right w:w="70" w:type="dxa"/>
            </w:tcMar>
            <w:vAlign w:val="center"/>
          </w:tcPr>
          <w:p>
            <w:pPr>
              <w:spacing w:before="0" w:after="0" w:line="276" w:lineRule="auto"/>
              <w:jc w:val="center"/>
            </w:pPr>
            <w:r>
              <w:rPr>
                <w:rFonts w:ascii="Times New Roman" w:hAnsi="Times New Roman"/>
                <w:sz w:val="19"/>
              </w:rPr>
              <w:t>None</w:t>
            </w:r>
          </w:p>
        </w:tc>
        <w:tc>
          <w:tcPr>
            <w:tcW w:type="dxa" w:w="2448"/>
            <w:tcMar>
              <w:top w:w="30" w:type="dxa"/>
              <w:bottom w:w="30" w:type="dxa"/>
              <w:left w:w="70" w:type="dxa"/>
              <w:right w:w="70" w:type="dxa"/>
            </w:tcMar>
            <w:vAlign w:val="center"/>
          </w:tcPr>
          <w:p>
            <w:pPr>
              <w:spacing w:before="0" w:after="0" w:line="276" w:lineRule="auto"/>
              <w:jc w:val="left"/>
            </w:pPr>
            <w:r>
              <w:rPr>
                <w:rFonts w:ascii="Times New Roman" w:hAnsi="Times New Roman"/>
                <w:sz w:val="19"/>
              </w:rPr>
              <w:t>patient_id, age, sex, cp</w:t>
            </w:r>
          </w:p>
        </w:tc>
        <w:tc>
          <w:tcPr>
            <w:tcW w:type="dxa" w:w="1728"/>
            <w:tcMar>
              <w:top w:w="30" w:type="dxa"/>
              <w:bottom w:w="30" w:type="dxa"/>
              <w:left w:w="70" w:type="dxa"/>
              <w:right w:w="70" w:type="dxa"/>
            </w:tcMar>
            <w:vAlign w:val="center"/>
          </w:tcPr>
          <w:p>
            <w:pPr>
              <w:spacing w:before="0" w:after="0" w:line="276" w:lineRule="auto"/>
              <w:jc w:val="left"/>
            </w:pPr>
            <w:r>
              <w:rPr>
                <w:rFonts w:ascii="Times New Roman" w:hAnsi="Times New Roman"/>
                <w:sz w:val="19"/>
              </w:rPr>
              <w:t>age &gt; 0, sex IN (0, 1), cp IN (1, 2, 3, 4)</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Patient_Stats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stat_id</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patient_id -&gt; Patients</w:t>
            </w:r>
          </w:p>
        </w:tc>
        <w:tc>
          <w:tcPr>
            <w:tcW w:type="dxa" w:w="2448"/>
            <w:tcMar>
              <w:top w:w="30" w:type="dxa"/>
              <w:bottom w:w="30" w:type="dxa"/>
              <w:left w:w="70" w:type="dxa"/>
              <w:right w:w="70" w:type="dxa"/>
            </w:tcMar>
            <w:vAlign w:val="center"/>
          </w:tcPr>
          <w:p>
            <w:pPr>
              <w:spacing w:before="0" w:after="0" w:line="276" w:lineRule="auto"/>
              <w:jc w:val="left"/>
            </w:pPr>
            <w:r>
              <w:rPr>
                <w:rFonts w:ascii="Times New Roman" w:hAnsi="Times New Roman"/>
                <w:sz w:val="19"/>
              </w:rPr>
              <w:t>stat_id, patient_id, trestbps, chol, fbs, restecg</w:t>
            </w:r>
          </w:p>
        </w:tc>
        <w:tc>
          <w:tcPr>
            <w:tcW w:type="dxa" w:w="1728"/>
            <w:tcMar>
              <w:top w:w="30" w:type="dxa"/>
              <w:bottom w:w="30" w:type="dxa"/>
              <w:left w:w="70" w:type="dxa"/>
              <w:right w:w="70" w:type="dxa"/>
            </w:tcMar>
            <w:vAlign w:val="center"/>
          </w:tcPr>
          <w:p>
            <w:pPr>
              <w:spacing w:before="0" w:after="0" w:line="276" w:lineRule="auto"/>
              <w:jc w:val="left"/>
            </w:pPr>
            <w:r>
              <w:rPr>
                <w:rFonts w:ascii="Times New Roman" w:hAnsi="Times New Roman"/>
                <w:sz w:val="19"/>
              </w:rPr>
              <w:t>trestbps &gt; 0, chol &gt; 0, fbs IN (0, 1)</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Medical_Tests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test_id</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patient_id -&gt; Patients</w:t>
            </w:r>
          </w:p>
        </w:tc>
        <w:tc>
          <w:tcPr>
            <w:tcW w:type="dxa" w:w="2448"/>
            <w:tcMar>
              <w:top w:w="30" w:type="dxa"/>
              <w:bottom w:w="30" w:type="dxa"/>
              <w:left w:w="70" w:type="dxa"/>
              <w:right w:w="70" w:type="dxa"/>
            </w:tcMar>
            <w:vAlign w:val="center"/>
          </w:tcPr>
          <w:p>
            <w:pPr>
              <w:spacing w:before="0" w:after="0" w:line="276" w:lineRule="auto"/>
              <w:jc w:val="left"/>
            </w:pPr>
            <w:r>
              <w:rPr>
                <w:rFonts w:ascii="Times New Roman" w:hAnsi="Times New Roman"/>
                <w:sz w:val="19"/>
              </w:rPr>
              <w:t>test_id, patient_id, thalch, exang, oldpeak, slope, ca, thal, num</w:t>
            </w:r>
          </w:p>
        </w:tc>
        <w:tc>
          <w:tcPr>
            <w:tcW w:type="dxa" w:w="1728"/>
            <w:tcMar>
              <w:top w:w="30" w:type="dxa"/>
              <w:bottom w:w="30" w:type="dxa"/>
              <w:left w:w="70" w:type="dxa"/>
              <w:right w:w="70" w:type="dxa"/>
            </w:tcMar>
            <w:vAlign w:val="center"/>
          </w:tcPr>
          <w:p>
            <w:pPr>
              <w:spacing w:before="0" w:after="0" w:line="276" w:lineRule="auto"/>
              <w:jc w:val="left"/>
            </w:pPr>
            <w:r>
              <w:rPr>
                <w:rFonts w:ascii="Times New Roman" w:hAnsi="Times New Roman"/>
                <w:sz w:val="19"/>
              </w:rPr>
              <w:t>thalch &gt; 0, exang IN (0, 1), oldpeak &gt;= 0.0</w:t>
            </w:r>
          </w:p>
        </w:tc>
      </w:tr>
    </w:tbl>
    <w:p>
      <w:pPr>
        <w:spacing w:after="20"/>
      </w:pPr>
    </w:p>
    <w:p>
      <w:pPr>
        <w:keepNext/>
        <w:spacing w:before="80" w:after="20"/>
        <w:jc w:val="center"/>
      </w:pPr>
      <w:r>
        <w:drawing>
          <wp:inline xmlns:a="http://schemas.openxmlformats.org/drawingml/2006/main" xmlns:pic="http://schemas.openxmlformats.org/drawingml/2006/picture">
            <wp:extent cx="5486400" cy="2364018"/>
            <wp:docPr id="7" name="Picture 7"/>
            <wp:cNvGraphicFramePr>
              <a:graphicFrameLocks noChangeAspect="1"/>
            </wp:cNvGraphicFramePr>
            <a:graphic>
              <a:graphicData uri="http://schemas.openxmlformats.org/drawingml/2006/picture">
                <pic:pic>
                  <pic:nvPicPr>
                    <pic:cNvPr id="0" name="fig3_1_erd_heart.png"/>
                    <pic:cNvPicPr/>
                  </pic:nvPicPr>
                  <pic:blipFill>
                    <a:blip r:embed="rId15"/>
                    <a:stretch>
                      <a:fillRect/>
                    </a:stretch>
                  </pic:blipFill>
                  <pic:spPr>
                    <a:xfrm>
                      <a:off x="0" y="0"/>
                      <a:ext cx="5486400" cy="2364018"/>
                    </a:xfrm>
                    <a:prstGeom prst="rect"/>
                  </pic:spPr>
                </pic:pic>
              </a:graphicData>
            </a:graphic>
          </wp:inline>
        </w:drawing>
      </w:r>
    </w:p>
    <w:p>
      <w:pPr>
        <w:keepNext/>
        <w:spacing w:before="20" w:after="120"/>
        <w:jc w:val="center"/>
      </w:pPr>
      <w:r>
        <w:rPr>
          <w:rFonts w:ascii="Times New Roman" w:hAnsi="Times New Roman"/>
          <w:i/>
          <w:sz w:val="21"/>
        </w:rPr>
        <w:t>Fig 3.1: Entity Relationship Diagram for Normalized Heart Disease Database Schema</w:t>
      </w:r>
    </w:p>
    <w:p>
      <w:pPr>
        <w:keepNext/>
        <w:spacing w:before="160" w:after="40"/>
        <w:jc w:val="left"/>
      </w:pPr>
      <w:r>
        <w:rPr>
          <w:rFonts w:ascii="Times New Roman" w:hAnsi="Times New Roman"/>
          <w:b/>
          <w:sz w:val="24"/>
        </w:rPr>
        <w:t>3.2.3 Exploratory Data Analysis and Descriptive Statistics</w:t>
      </w:r>
    </w:p>
    <w:p>
      <w:pPr>
        <w:spacing w:before="0" w:after="60" w:line="324" w:lineRule="auto"/>
        <w:jc w:val="both"/>
      </w:pPr>
      <w:r>
        <w:rPr>
          <w:rFonts w:ascii="Times New Roman" w:hAnsi="Times New Roman"/>
          <w:sz w:val="24"/>
        </w:rPr>
        <w:t>Descriptive statistical analysis of the 303 patient records revealed key clinical properties: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Age: Ranged from 29 to 77 years with a mean of 54.44 years (standard deviation 9.04), indicating a patient sample concentrated in middle-aged and older adults.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Sex: Approximately 67.99% of patients were male (206 males vs 97 females), reflecting the historical male predominance in cardiovascular referral registries.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Resting Blood Pressure (trestbps): Averaged 131.69 mm Hg (standard deviation 17.60), with clinical readings reaching up to 200 mm Hg.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Serum Cholesterol (chol): Averaged 246.69 mg/dl with a wide dispersion (standard deviation 51.78) and a maximum reading of 564 mg/dl, well above the clinical borderline threshold of 200 mg/dl.</w:t>
      </w:r>
    </w:p>
    <w:p>
      <w:pPr>
        <w:spacing w:before="0" w:after="50" w:line="312" w:lineRule="auto"/>
        <w:ind w:left="288"/>
        <w:jc w:val="both"/>
      </w:pPr>
      <w:r>
        <w:rPr>
          <w:rFonts w:ascii="Times New Roman" w:hAnsi="Times New Roman"/>
          <w:sz w:val="24"/>
        </w:rPr>
        <w:t xml:space="preserve">•  </w:t>
      </w:r>
      <w:r>
        <w:rPr>
          <w:rFonts w:ascii="Times New Roman" w:hAnsi="Times New Roman"/>
          <w:sz w:val="24"/>
        </w:rPr>
        <w:t>Target Distribution: In the raw dataset, 164 patients (54.1%) had no heart disease (num = 0), while 139 patients (45.9%) had varying stages of heart disease (num &gt;= 1), creating a balanced classification target.</w:t>
      </w:r>
    </w:p>
    <w:p>
      <w:pPr>
        <w:keepNext/>
        <w:spacing w:before="160" w:after="40"/>
        <w:jc w:val="left"/>
      </w:pPr>
      <w:r>
        <w:rPr>
          <w:rFonts w:ascii="Times New Roman" w:hAnsi="Times New Roman"/>
          <w:b/>
          <w:sz w:val="24"/>
        </w:rPr>
        <w:t>3.2.4 Univariate and Bivariate Analysis with Visualizations</w:t>
      </w:r>
    </w:p>
    <w:p>
      <w:pPr>
        <w:spacing w:before="0" w:after="60" w:line="324" w:lineRule="auto"/>
        <w:jc w:val="both"/>
      </w:pPr>
      <w:r>
        <w:rPr>
          <w:rFonts w:ascii="Times New Roman" w:hAnsi="Times New Roman"/>
          <w:sz w:val="24"/>
        </w:rPr>
        <w:t>Univariate distribution plots revealed that age, resting blood pressure, and maximum heart rate (thalch) follow roughly bell-shaped normal distributions. In contrast, cholesterol and ST depression (oldpeak) exhibit pronounced positive right-skewness, with long tails of high clinical values. Boxplots highlighted several extreme cholesterol points exceeding 400 mg/dl and blood pressure readings above 170 mm Hg. These were retained as valid clinical extremes rather than measurement errors.</w:t>
      </w:r>
    </w:p>
    <w:p>
      <w:pPr>
        <w:keepNext/>
        <w:spacing w:before="80" w:after="20"/>
        <w:jc w:val="center"/>
      </w:pPr>
      <w:r>
        <w:drawing>
          <wp:inline xmlns:a="http://schemas.openxmlformats.org/drawingml/2006/main" xmlns:pic="http://schemas.openxmlformats.org/drawingml/2006/picture">
            <wp:extent cx="5120640" cy="6058511"/>
            <wp:docPr id="8" name="Picture 8"/>
            <wp:cNvGraphicFramePr>
              <a:graphicFrameLocks noChangeAspect="1"/>
            </wp:cNvGraphicFramePr>
            <a:graphic>
              <a:graphicData uri="http://schemas.openxmlformats.org/drawingml/2006/picture">
                <pic:pic>
                  <pic:nvPicPr>
                    <pic:cNvPr id="0" name="fig3_2_eda_dashboard.png"/>
                    <pic:cNvPicPr/>
                  </pic:nvPicPr>
                  <pic:blipFill>
                    <a:blip r:embed="rId16"/>
                    <a:stretch>
                      <a:fillRect/>
                    </a:stretch>
                  </pic:blipFill>
                  <pic:spPr>
                    <a:xfrm>
                      <a:off x="0" y="0"/>
                      <a:ext cx="5120640" cy="6058511"/>
                    </a:xfrm>
                    <a:prstGeom prst="rect"/>
                  </pic:spPr>
                </pic:pic>
              </a:graphicData>
            </a:graphic>
          </wp:inline>
        </w:drawing>
      </w:r>
    </w:p>
    <w:p>
      <w:pPr>
        <w:keepNext/>
        <w:spacing w:before="20" w:after="120"/>
        <w:jc w:val="center"/>
      </w:pPr>
      <w:r>
        <w:rPr>
          <w:rFonts w:ascii="Times New Roman" w:hAnsi="Times New Roman"/>
          <w:i/>
          <w:sz w:val="21"/>
        </w:rPr>
        <w:t>Fig 3.2: Univariate and Bivariate Clinical Distributions Dashboard</w:t>
      </w:r>
    </w:p>
    <w:p>
      <w:pPr>
        <w:spacing w:before="0" w:after="60" w:line="324" w:lineRule="auto"/>
        <w:jc w:val="both"/>
      </w:pPr>
      <w:r>
        <w:rPr>
          <w:rFonts w:ascii="Times New Roman" w:hAnsi="Times New Roman"/>
          <w:sz w:val="24"/>
        </w:rPr>
        <w:t>Bivariate analysis was performed to evaluate feature relationships against the binary heart disease target. Scatter plots of resting blood pressure against cholesterol and age against ST depression showed dispersed clinical clusters. Boxplots revealed that patients without heart disease achieved a noticeably higher median maximum heart rate (thalch) during exercise stress testing than patients with disease. A multi-plot EDA dashboard was compiled, including distribution curves, categorical distributions, and a correlation matrix.</w:t>
      </w:r>
    </w:p>
    <w:p>
      <w:pPr>
        <w:keepNext/>
        <w:spacing w:before="80" w:after="20"/>
        <w:jc w:val="center"/>
      </w:pPr>
      <w:r>
        <w:drawing>
          <wp:inline xmlns:a="http://schemas.openxmlformats.org/drawingml/2006/main" xmlns:pic="http://schemas.openxmlformats.org/drawingml/2006/picture">
            <wp:extent cx="5486400" cy="1985066"/>
            <wp:docPr id="9" name="Picture 9"/>
            <wp:cNvGraphicFramePr>
              <a:graphicFrameLocks noChangeAspect="1"/>
            </wp:cNvGraphicFramePr>
            <a:graphic>
              <a:graphicData uri="http://schemas.openxmlformats.org/drawingml/2006/picture">
                <pic:pic>
                  <pic:nvPicPr>
                    <pic:cNvPr id="0" name="fig3_3_bivariate_scatter.png"/>
                    <pic:cNvPicPr/>
                  </pic:nvPicPr>
                  <pic:blipFill>
                    <a:blip r:embed="rId17"/>
                    <a:stretch>
                      <a:fillRect/>
                    </a:stretch>
                  </pic:blipFill>
                  <pic:spPr>
                    <a:xfrm>
                      <a:off x="0" y="0"/>
                      <a:ext cx="5486400" cy="1985066"/>
                    </a:xfrm>
                    <a:prstGeom prst="rect"/>
                  </pic:spPr>
                </pic:pic>
              </a:graphicData>
            </a:graphic>
          </wp:inline>
        </w:drawing>
      </w:r>
    </w:p>
    <w:p>
      <w:pPr>
        <w:keepNext/>
        <w:spacing w:before="20" w:after="120"/>
        <w:jc w:val="center"/>
      </w:pPr>
      <w:r>
        <w:rPr>
          <w:rFonts w:ascii="Times New Roman" w:hAnsi="Times New Roman"/>
          <w:i/>
          <w:sz w:val="21"/>
        </w:rPr>
        <w:t>Fig 3.3: Bivariate Clinical Feature Scatter Distributions and Associations</w:t>
      </w:r>
    </w:p>
    <w:p>
      <w:pPr>
        <w:keepNext/>
        <w:spacing w:before="160" w:after="40"/>
        <w:jc w:val="left"/>
      </w:pPr>
      <w:r>
        <w:rPr>
          <w:rFonts w:ascii="Times New Roman" w:hAnsi="Times New Roman"/>
          <w:b/>
          <w:sz w:val="24"/>
        </w:rPr>
        <w:t>3.2.5 Clinical Hypothesis Formulation and Testing</w:t>
      </w:r>
    </w:p>
    <w:p>
      <w:pPr>
        <w:spacing w:before="0" w:after="60" w:line="324" w:lineRule="auto"/>
        <w:jc w:val="both"/>
      </w:pPr>
      <w:r>
        <w:rPr>
          <w:rFonts w:ascii="Times New Roman" w:hAnsi="Times New Roman"/>
          <w:sz w:val="24"/>
        </w:rPr>
        <w:t>Four specific clinical hypotheses were formulated and tested using statistical metrics and exploratory data distributions:</w:t>
      </w:r>
    </w:p>
    <w:p>
      <w:pPr>
        <w:keepNext/>
        <w:spacing w:before="120" w:after="40"/>
        <w:jc w:val="center"/>
      </w:pPr>
      <w:r>
        <w:rPr>
          <w:rFonts w:ascii="Times New Roman" w:hAnsi="Times New Roman"/>
          <w:b/>
          <w:sz w:val="21"/>
        </w:rPr>
        <w:t>Table 3.2: Summary of Clinical Hypotheses, Statistical Findings, and Decisions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Hypothesis ID</w:t>
            </w:r>
          </w:p>
        </w:tc>
        <w:tc>
          <w:tcPr>
            <w:tcW w:type="dxa" w:w="3168"/>
            <w:tcMar>
              <w:top w:w="42" w:type="dxa"/>
              <w:bottom w:w="42" w:type="dxa"/>
              <w:left w:w="70" w:type="dxa"/>
              <w:right w:w="70" w:type="dxa"/>
            </w:tcMar>
            <w:shd w:fill="EBF1F5"/>
            <w:vAlign w:val="center"/>
          </w:tcPr>
          <w:p>
            <w:pPr>
              <w:spacing w:before="0" w:after="0"/>
              <w:jc w:val="center"/>
            </w:pPr>
            <w:r>
              <w:rPr>
                <w:rFonts w:ascii="Times New Roman" w:hAnsi="Times New Roman"/>
                <w:b/>
                <w:sz w:val="20"/>
              </w:rPr>
              <w:t>Clinical Hypothesis Statement</w:t>
            </w:r>
          </w:p>
        </w:tc>
        <w:tc>
          <w:tcPr>
            <w:tcW w:type="dxa" w:w="3024"/>
            <w:tcMar>
              <w:top w:w="42" w:type="dxa"/>
              <w:bottom w:w="42" w:type="dxa"/>
              <w:left w:w="70" w:type="dxa"/>
              <w:right w:w="70" w:type="dxa"/>
            </w:tcMar>
            <w:shd w:fill="EBF1F5"/>
            <w:vAlign w:val="center"/>
          </w:tcPr>
          <w:p>
            <w:pPr>
              <w:spacing w:before="0" w:after="0"/>
              <w:jc w:val="center"/>
            </w:pPr>
            <w:r>
              <w:rPr>
                <w:rFonts w:ascii="Times New Roman" w:hAnsi="Times New Roman"/>
                <w:b/>
                <w:sz w:val="20"/>
              </w:rPr>
              <w:t>Observed Metrics</w:t>
            </w:r>
          </w:p>
        </w:tc>
        <w:tc>
          <w:tcPr>
            <w:tcW w:type="dxa" w:w="2016"/>
            <w:tcMar>
              <w:top w:w="42" w:type="dxa"/>
              <w:bottom w:w="42" w:type="dxa"/>
              <w:left w:w="70" w:type="dxa"/>
              <w:right w:w="70" w:type="dxa"/>
            </w:tcMar>
            <w:shd w:fill="EBF1F5"/>
            <w:vAlign w:val="center"/>
          </w:tcPr>
          <w:p>
            <w:pPr>
              <w:spacing w:before="0" w:after="0"/>
              <w:jc w:val="center"/>
            </w:pPr>
            <w:r>
              <w:rPr>
                <w:rFonts w:ascii="Times New Roman" w:hAnsi="Times New Roman"/>
                <w:b/>
                <w:sz w:val="20"/>
              </w:rPr>
              <w:t>Statistical Decision</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H1</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Older patients exhibit higher heart disease prevalence</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Mean age without disease: 52.6 yrs vs with disease: 56.6 yrs</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CONFIRMED (Modest difference)</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H2</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Male patients have higher incidence than female patients</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Disease present in 55.3% of males vs 25.8% of females</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CONFIRMED (Strong gender disparity)</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H3</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High cholesterol directly indicates presence of disease</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Mean chol without disease: 242.6 mg/dl vs with disease: 251.5 mg/dl</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NOT STRONGLY CONFIRMED (Weak standalone predictor)</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H4</w:t>
            </w:r>
          </w:p>
        </w:tc>
        <w:tc>
          <w:tcPr>
            <w:tcW w:type="dxa" w:w="3168"/>
            <w:tcMar>
              <w:top w:w="30" w:type="dxa"/>
              <w:bottom w:w="30" w:type="dxa"/>
              <w:left w:w="70" w:type="dxa"/>
              <w:right w:w="70" w:type="dxa"/>
            </w:tcMar>
            <w:vAlign w:val="center"/>
          </w:tcPr>
          <w:p>
            <w:pPr>
              <w:spacing w:before="0" w:after="0" w:line="276" w:lineRule="auto"/>
              <w:jc w:val="left"/>
            </w:pPr>
            <w:r>
              <w:rPr>
                <w:rFonts w:ascii="Times New Roman" w:hAnsi="Times New Roman"/>
                <w:sz w:val="19"/>
              </w:rPr>
              <w:t>Asymptomatic chest pain (cp = 4) strongly indicates heart disease</w:t>
            </w:r>
          </w:p>
        </w:tc>
        <w:tc>
          <w:tcPr>
            <w:tcW w:type="dxa" w:w="3024"/>
            <w:tcMar>
              <w:top w:w="30" w:type="dxa"/>
              <w:bottom w:w="30" w:type="dxa"/>
              <w:left w:w="70" w:type="dxa"/>
              <w:right w:w="70" w:type="dxa"/>
            </w:tcMar>
            <w:vAlign w:val="center"/>
          </w:tcPr>
          <w:p>
            <w:pPr>
              <w:spacing w:before="0" w:after="0" w:line="276" w:lineRule="auto"/>
              <w:jc w:val="left"/>
            </w:pPr>
            <w:r>
              <w:rPr>
                <w:rFonts w:ascii="Times New Roman" w:hAnsi="Times New Roman"/>
                <w:sz w:val="19"/>
              </w:rPr>
              <w:t>72.9% of cp=4 patients have disease vs 27.1% without disease</w:t>
            </w:r>
          </w:p>
        </w:tc>
        <w:tc>
          <w:tcPr>
            <w:tcW w:type="dxa" w:w="2016"/>
            <w:tcMar>
              <w:top w:w="30" w:type="dxa"/>
              <w:bottom w:w="30" w:type="dxa"/>
              <w:left w:w="70" w:type="dxa"/>
              <w:right w:w="70" w:type="dxa"/>
            </w:tcMar>
            <w:vAlign w:val="center"/>
          </w:tcPr>
          <w:p>
            <w:pPr>
              <w:spacing w:before="0" w:after="0" w:line="276" w:lineRule="auto"/>
              <w:jc w:val="left"/>
            </w:pPr>
            <w:r>
              <w:rPr>
                <w:rFonts w:ascii="Times New Roman" w:hAnsi="Times New Roman"/>
                <w:sz w:val="19"/>
              </w:rPr>
              <w:t>CONFIRMED (Strongest categorical indicator)</w:t>
            </w:r>
          </w:p>
        </w:tc>
      </w:tr>
    </w:tbl>
    <w:p>
      <w:pPr>
        <w:spacing w:after="20"/>
      </w:pPr>
    </w:p>
    <w:p>
      <w:pPr>
        <w:keepNext/>
        <w:spacing w:before="160" w:after="40"/>
        <w:jc w:val="left"/>
      </w:pPr>
      <w:r>
        <w:rPr>
          <w:rFonts w:ascii="Times New Roman" w:hAnsi="Times New Roman"/>
          <w:b/>
          <w:sz w:val="24"/>
        </w:rPr>
        <w:t>3.2.6 Predictive Modeling and Multi-Algorithm Evaluation</w:t>
      </w:r>
    </w:p>
    <w:p>
      <w:pPr>
        <w:spacing w:before="0" w:after="60" w:line="324" w:lineRule="auto"/>
        <w:jc w:val="both"/>
      </w:pPr>
      <w:r>
        <w:rPr>
          <w:rFonts w:ascii="Times New Roman" w:hAnsi="Times New Roman"/>
          <w:sz w:val="24"/>
        </w:rPr>
        <w:t>The dataset was partitioned into an 80% training set and a 20% testing set using stratified sampling to maintain class proportions. Three machine learning classification algorithms were trained and evaluated:</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Logistic Regression: </w:t>
      </w:r>
      <w:r>
        <w:rPr>
          <w:rFonts w:ascii="Times New Roman" w:hAnsi="Times New Roman"/>
          <w:sz w:val="24"/>
        </w:rPr>
        <w:t>Logistic Regression: Used as a baseline linear classifier with L2 regularization.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Random Forest: </w:t>
      </w:r>
      <w:r>
        <w:rPr>
          <w:rFonts w:ascii="Times New Roman" w:hAnsi="Times New Roman"/>
          <w:sz w:val="24"/>
        </w:rPr>
        <w:t>Random Forest Classifier: An ensemble of 100 decision trees using bootstrap aggregation.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Gradient Boosting: </w:t>
      </w:r>
      <w:r>
        <w:rPr>
          <w:rFonts w:ascii="Times New Roman" w:hAnsi="Times New Roman"/>
          <w:sz w:val="24"/>
        </w:rPr>
        <w:t>Gradient Boosting Classifier: An iterative boosting ensemble building shallow trees sequentially.</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Stacking Ensemble: </w:t>
      </w:r>
      <w:r>
        <w:rPr>
          <w:rFonts w:ascii="Times New Roman" w:hAnsi="Times New Roman"/>
          <w:sz w:val="24"/>
        </w:rPr>
        <w:t>Stacking Ensemble: A meta-model combining predictions from Random Forest and Gradient Boosting using a Logistic Regression meta-classifier.</w:t>
      </w:r>
    </w:p>
    <w:p>
      <w:pPr>
        <w:keepNext/>
        <w:spacing w:before="120" w:after="40"/>
        <w:jc w:val="center"/>
      </w:pPr>
      <w:r>
        <w:rPr>
          <w:rFonts w:ascii="Times New Roman" w:hAnsi="Times New Roman"/>
          <w:b/>
          <w:sz w:val="21"/>
        </w:rPr>
        <w:t>Table 3.3: Performance Evaluation and Comparison of Machine Learning Models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Classification Model</w:t>
            </w:r>
          </w:p>
        </w:tc>
        <w:tc>
          <w:tcPr>
            <w:tcW w:type="dxa" w:w="1584"/>
            <w:tcMar>
              <w:top w:w="42" w:type="dxa"/>
              <w:bottom w:w="42" w:type="dxa"/>
              <w:left w:w="70" w:type="dxa"/>
              <w:right w:w="70" w:type="dxa"/>
            </w:tcMar>
            <w:shd w:fill="EBF1F5"/>
            <w:vAlign w:val="center"/>
          </w:tcPr>
          <w:p>
            <w:pPr>
              <w:spacing w:before="0" w:after="0"/>
              <w:jc w:val="center"/>
            </w:pPr>
            <w:r>
              <w:rPr>
                <w:rFonts w:ascii="Times New Roman" w:hAnsi="Times New Roman"/>
                <w:b/>
                <w:sz w:val="20"/>
              </w:rPr>
              <w:t>Test Accuracy</w:t>
            </w:r>
          </w:p>
        </w:tc>
        <w:tc>
          <w:tcPr>
            <w:tcW w:type="dxa" w:w="2304"/>
            <w:tcMar>
              <w:top w:w="42" w:type="dxa"/>
              <w:bottom w:w="42" w:type="dxa"/>
              <w:left w:w="70" w:type="dxa"/>
              <w:right w:w="70" w:type="dxa"/>
            </w:tcMar>
            <w:shd w:fill="EBF1F5"/>
            <w:vAlign w:val="center"/>
          </w:tcPr>
          <w:p>
            <w:pPr>
              <w:spacing w:before="0" w:after="0"/>
              <w:jc w:val="center"/>
            </w:pPr>
            <w:r>
              <w:rPr>
                <w:rFonts w:ascii="Times New Roman" w:hAnsi="Times New Roman"/>
                <w:b/>
                <w:sz w:val="20"/>
              </w:rPr>
              <w:t>5-Fold Cross Validation Mean</w:t>
            </w:r>
          </w:p>
        </w:tc>
        <w:tc>
          <w:tcPr>
            <w:tcW w:type="dxa" w:w="2880"/>
            <w:tcMar>
              <w:top w:w="42" w:type="dxa"/>
              <w:bottom w:w="42" w:type="dxa"/>
              <w:left w:w="70" w:type="dxa"/>
              <w:right w:w="70" w:type="dxa"/>
            </w:tcMar>
            <w:shd w:fill="EBF1F5"/>
            <w:vAlign w:val="center"/>
          </w:tcPr>
          <w:p>
            <w:pPr>
              <w:spacing w:before="0" w:after="0"/>
              <w:jc w:val="center"/>
            </w:pPr>
            <w:r>
              <w:rPr>
                <w:rFonts w:ascii="Times New Roman" w:hAnsi="Times New Roman"/>
                <w:b/>
                <w:sz w:val="20"/>
              </w:rPr>
              <w:t>Model Characteristics</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Logistic Regression</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0.8852</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0.8223</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Strong linear separation, high baseline precision</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Random Forest</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0.8689</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0.8264</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Highest cross-validation score, non-linear modeling</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Gradient Boosting</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0.8525</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0.7686</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Effective on tabular data, susceptible to noise</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Stacking Ensemble</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0.8852</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0.8264</w:t>
            </w:r>
          </w:p>
        </w:tc>
        <w:tc>
          <w:tcPr>
            <w:tcW w:type="dxa" w:w="2880"/>
            <w:tcMar>
              <w:top w:w="30" w:type="dxa"/>
              <w:bottom w:w="30" w:type="dxa"/>
              <w:left w:w="70" w:type="dxa"/>
              <w:right w:w="70" w:type="dxa"/>
            </w:tcMar>
            <w:vAlign w:val="center"/>
          </w:tcPr>
          <w:p>
            <w:pPr>
              <w:spacing w:before="0" w:after="0" w:line="276" w:lineRule="auto"/>
              <w:jc w:val="left"/>
            </w:pPr>
            <w:r>
              <w:rPr>
                <w:rFonts w:ascii="Times New Roman" w:hAnsi="Times New Roman"/>
                <w:sz w:val="19"/>
              </w:rPr>
              <w:t>Balanced predictions combining tree ensembles with LR</w:t>
            </w:r>
          </w:p>
        </w:tc>
      </w:tr>
    </w:tbl>
    <w:p>
      <w:pPr>
        <w:spacing w:after="20"/>
      </w:pPr>
    </w:p>
    <w:p>
      <w:pPr>
        <w:spacing w:before="0" w:after="60" w:line="324" w:lineRule="auto"/>
        <w:jc w:val="both"/>
      </w:pPr>
      <w:r>
        <w:rPr>
          <w:rFonts w:ascii="Times New Roman" w:hAnsi="Times New Roman"/>
          <w:sz w:val="24"/>
        </w:rPr>
        <w:t>Random Forest was selected as the primary model for detailed explainability and deployment because it achieved the highest cross-validation score (0.8264) and provides straightforward integration with tree-based SHAP explainers.</w:t>
      </w:r>
    </w:p>
    <w:p>
      <w:pPr>
        <w:keepNext/>
        <w:spacing w:before="160" w:after="40"/>
        <w:jc w:val="left"/>
      </w:pPr>
      <w:r>
        <w:rPr>
          <w:rFonts w:ascii="Times New Roman" w:hAnsi="Times New Roman"/>
          <w:b/>
          <w:sz w:val="24"/>
        </w:rPr>
        <w:t>3.2.7 Feature Importance Assessment and SHAP Interpretability</w:t>
      </w:r>
    </w:p>
    <w:p>
      <w:pPr>
        <w:spacing w:before="0" w:after="60" w:line="324" w:lineRule="auto"/>
        <w:jc w:val="both"/>
      </w:pPr>
      <w:r>
        <w:rPr>
          <w:rFonts w:ascii="Times New Roman" w:hAnsi="Times New Roman"/>
          <w:sz w:val="24"/>
        </w:rPr>
        <w:t>Feature importance was computed across all 13 attributes using Gini impurity reduction from the Random Forest model. Chest pain type (cp), maximum heart rate (thalch), and ST depression (oldpeak) emerged as the three most important features, each contributing over 11% of the total model importance. Fasting blood sugar (fbs) and resting ECG (restecg) contributed less than 3% each, marking them as candidates for feature pruning if required.</w:t>
      </w:r>
    </w:p>
    <w:p>
      <w:pPr>
        <w:keepNext/>
        <w:spacing w:before="80" w:after="20"/>
        <w:jc w:val="center"/>
      </w:pPr>
      <w:r>
        <w:drawing>
          <wp:inline xmlns:a="http://schemas.openxmlformats.org/drawingml/2006/main" xmlns:pic="http://schemas.openxmlformats.org/drawingml/2006/picture">
            <wp:extent cx="4754880" cy="3502203"/>
            <wp:docPr id="10" name="Picture 10"/>
            <wp:cNvGraphicFramePr>
              <a:graphicFrameLocks noChangeAspect="1"/>
            </wp:cNvGraphicFramePr>
            <a:graphic>
              <a:graphicData uri="http://schemas.openxmlformats.org/drawingml/2006/picture">
                <pic:pic>
                  <pic:nvPicPr>
                    <pic:cNvPr id="0" name="fig3_4_rf_importance.png"/>
                    <pic:cNvPicPr/>
                  </pic:nvPicPr>
                  <pic:blipFill>
                    <a:blip r:embed="rId18"/>
                    <a:stretch>
                      <a:fillRect/>
                    </a:stretch>
                  </pic:blipFill>
                  <pic:spPr>
                    <a:xfrm>
                      <a:off x="0" y="0"/>
                      <a:ext cx="4754880" cy="3502203"/>
                    </a:xfrm>
                    <a:prstGeom prst="rect"/>
                  </pic:spPr>
                </pic:pic>
              </a:graphicData>
            </a:graphic>
          </wp:inline>
        </w:drawing>
      </w:r>
    </w:p>
    <w:p>
      <w:pPr>
        <w:keepNext/>
        <w:spacing w:before="20" w:after="120"/>
        <w:jc w:val="center"/>
      </w:pPr>
      <w:r>
        <w:rPr>
          <w:rFonts w:ascii="Times New Roman" w:hAnsi="Times New Roman"/>
          <w:i/>
          <w:sz w:val="21"/>
        </w:rPr>
        <w:t>Fig 3.4: Random Forest Feature Importance Assessment across 13 Clinical Attributes</w:t>
      </w:r>
    </w:p>
    <w:p>
      <w:pPr>
        <w:spacing w:before="0" w:after="60" w:line="324" w:lineRule="auto"/>
        <w:jc w:val="both"/>
      </w:pPr>
      <w:r>
        <w:rPr>
          <w:rFonts w:ascii="Times New Roman" w:hAnsi="Times New Roman"/>
          <w:sz w:val="24"/>
        </w:rPr>
        <w:t>To satisfy clinical explainability requirements, SHAP (SHapley Additive exPlanations) was applied. Based on cooperative game theory, SHAP calculates the exact marginal contribution of each feature to the model's prediction. The SHAP summary beeswarm plot confirmed global patterns: high values of major vessels colored (ca) and ST depression (oldpeak) strongly pushed predictions toward disease (positive SHAP values), while higher maximum heart rate (thalch) pushed predictions toward healthy status.</w:t>
      </w:r>
    </w:p>
    <w:p>
      <w:pPr>
        <w:keepNext/>
        <w:spacing w:before="80" w:after="20"/>
        <w:jc w:val="center"/>
      </w:pPr>
      <w:r>
        <w:drawing>
          <wp:inline xmlns:a="http://schemas.openxmlformats.org/drawingml/2006/main" xmlns:pic="http://schemas.openxmlformats.org/drawingml/2006/picture">
            <wp:extent cx="4389120" cy="3838328"/>
            <wp:docPr id="11" name="Picture 11"/>
            <wp:cNvGraphicFramePr>
              <a:graphicFrameLocks noChangeAspect="1"/>
            </wp:cNvGraphicFramePr>
            <a:graphic>
              <a:graphicData uri="http://schemas.openxmlformats.org/drawingml/2006/picture">
                <pic:pic>
                  <pic:nvPicPr>
                    <pic:cNvPr id="0" name="fig3_5_shap_beeswarm.png"/>
                    <pic:cNvPicPr/>
                  </pic:nvPicPr>
                  <pic:blipFill>
                    <a:blip r:embed="rId19"/>
                    <a:stretch>
                      <a:fillRect/>
                    </a:stretch>
                  </pic:blipFill>
                  <pic:spPr>
                    <a:xfrm>
                      <a:off x="0" y="0"/>
                      <a:ext cx="4389120" cy="3838328"/>
                    </a:xfrm>
                    <a:prstGeom prst="rect"/>
                  </pic:spPr>
                </pic:pic>
              </a:graphicData>
            </a:graphic>
          </wp:inline>
        </w:drawing>
      </w:r>
    </w:p>
    <w:p>
      <w:pPr>
        <w:keepNext/>
        <w:spacing w:before="20" w:after="120"/>
        <w:jc w:val="center"/>
      </w:pPr>
      <w:r>
        <w:rPr>
          <w:rFonts w:ascii="Times New Roman" w:hAnsi="Times New Roman"/>
          <w:i/>
          <w:sz w:val="21"/>
        </w:rPr>
        <w:t>Fig 3.5: SHAP Beeswarm Summary Plot for Global Feature Impact on Predictions</w:t>
      </w:r>
    </w:p>
    <w:p>
      <w:pPr>
        <w:spacing w:before="0" w:after="60" w:line="324" w:lineRule="auto"/>
        <w:jc w:val="both"/>
      </w:pPr>
      <w:r>
        <w:rPr>
          <w:rFonts w:ascii="Times New Roman" w:hAnsi="Times New Roman"/>
          <w:sz w:val="24"/>
        </w:rPr>
        <w:t>Local explainability was evaluated on individual test patients using SHAP force plots. For a specific test subject, the model predicted a 28% probability of heart disease, classifying the patient as disease-free. The force plot explained the decision: non-anginal chest pain (cp = 3), normal thalassemia (thal = 3), and an upsloping ST segment reduced the disease probability, while patient age and mild vessel coloring pushed it upward, leaving the final probability well below the 0.50 threshold.</w:t>
      </w:r>
    </w:p>
    <w:p>
      <w:pPr>
        <w:keepNext/>
        <w:spacing w:before="80" w:after="20"/>
        <w:jc w:val="center"/>
      </w:pPr>
      <w:r>
        <w:drawing>
          <wp:inline xmlns:a="http://schemas.openxmlformats.org/drawingml/2006/main" xmlns:pic="http://schemas.openxmlformats.org/drawingml/2006/picture">
            <wp:extent cx="5486400" cy="798478"/>
            <wp:docPr id="12" name="Picture 12"/>
            <wp:cNvGraphicFramePr>
              <a:graphicFrameLocks noChangeAspect="1"/>
            </wp:cNvGraphicFramePr>
            <a:graphic>
              <a:graphicData uri="http://schemas.openxmlformats.org/drawingml/2006/picture">
                <pic:pic>
                  <pic:nvPicPr>
                    <pic:cNvPr id="0" name="fig3_6_shap_force.png"/>
                    <pic:cNvPicPr/>
                  </pic:nvPicPr>
                  <pic:blipFill>
                    <a:blip r:embed="rId20"/>
                    <a:stretch>
                      <a:fillRect/>
                    </a:stretch>
                  </pic:blipFill>
                  <pic:spPr>
                    <a:xfrm>
                      <a:off x="0" y="0"/>
                      <a:ext cx="5486400" cy="798478"/>
                    </a:xfrm>
                    <a:prstGeom prst="rect"/>
                  </pic:spPr>
                </pic:pic>
              </a:graphicData>
            </a:graphic>
          </wp:inline>
        </w:drawing>
      </w:r>
    </w:p>
    <w:p>
      <w:pPr>
        <w:keepNext/>
        <w:spacing w:before="20" w:after="120"/>
        <w:jc w:val="center"/>
      </w:pPr>
      <w:r>
        <w:rPr>
          <w:rFonts w:ascii="Times New Roman" w:hAnsi="Times New Roman"/>
          <w:i/>
          <w:sz w:val="21"/>
        </w:rPr>
        <w:t>Fig 3.6: SHAP Force Plot for Local Single Patient Decision Explanation</w:t>
      </w:r>
    </w:p>
    <w:p>
      <w:pPr>
        <w:keepNext/>
        <w:spacing w:before="160" w:after="40"/>
        <w:jc w:val="left"/>
      </w:pPr>
      <w:r>
        <w:rPr>
          <w:rFonts w:ascii="Times New Roman" w:hAnsi="Times New Roman"/>
          <w:b/>
          <w:sz w:val="24"/>
        </w:rPr>
        <w:t>3.2.8 Overfitting Mitigation and Hyperparameter Tuning using GridSearchCV</w:t>
      </w:r>
    </w:p>
    <w:p>
      <w:pPr>
        <w:spacing w:before="0" w:after="60" w:line="324" w:lineRule="auto"/>
        <w:jc w:val="both"/>
      </w:pPr>
      <w:r>
        <w:rPr>
          <w:rFonts w:ascii="Times New Roman" w:hAnsi="Times New Roman"/>
          <w:sz w:val="24"/>
        </w:rPr>
        <w:t>Evaluating the baseline Random Forest revealed a significant overfitting issue: the untuned model achieved a perfect 1.0000 (100%) accuracy on the training set, but scored 0.8689 on the test set, creating an overfitting gap of 0.1311. Five-fold cross-validation confirmed a realistic baseline generalization accuracy of 0.80 ± 0.04.</w:t>
      </w:r>
    </w:p>
    <w:p>
      <w:pPr>
        <w:spacing w:before="0" w:after="60" w:line="324" w:lineRule="auto"/>
        <w:jc w:val="both"/>
      </w:pPr>
      <w:r>
        <w:rPr>
          <w:rFonts w:ascii="Times New Roman" w:hAnsi="Times New Roman"/>
          <w:sz w:val="24"/>
        </w:rPr>
        <w:t>To resolve this, GridSearchCV was implemented over a parameter search space including n_estimators ([100, 200]), max_depth ([None, 5, 10]), and min_samples_split ([2, 5]). The optimal configuration was max_depth = 5, min_samples_split = 2, and n_estimators = 200. Restricting tree depth and requiring minimum samples per split regularized the ensemble, improving test accuracy while narrowing the overfitting gap.</w:t>
      </w:r>
    </w:p>
    <w:p>
      <w:pPr>
        <w:keepNext/>
        <w:spacing w:before="120" w:after="40"/>
        <w:jc w:val="center"/>
      </w:pPr>
      <w:r>
        <w:rPr>
          <w:rFonts w:ascii="Times New Roman" w:hAnsi="Times New Roman"/>
          <w:b/>
          <w:sz w:val="21"/>
        </w:rPr>
        <w:t>Table 3.4: Hyperparameter Tuning and Overfitting Mitigation Comparison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3168"/>
            <w:tcMar>
              <w:top w:w="42" w:type="dxa"/>
              <w:bottom w:w="42" w:type="dxa"/>
              <w:left w:w="70" w:type="dxa"/>
              <w:right w:w="70" w:type="dxa"/>
            </w:tcMar>
            <w:shd w:fill="EBF1F5"/>
            <w:vAlign w:val="center"/>
          </w:tcPr>
          <w:p>
            <w:pPr>
              <w:spacing w:before="0" w:after="0"/>
              <w:jc w:val="center"/>
            </w:pPr>
            <w:r>
              <w:rPr>
                <w:rFonts w:ascii="Times New Roman" w:hAnsi="Times New Roman"/>
                <w:b/>
                <w:sz w:val="20"/>
              </w:rPr>
              <w:t>Pipeline Stage</w:t>
            </w:r>
          </w:p>
        </w:tc>
        <w:tc>
          <w:tcPr>
            <w:tcW w:type="dxa" w:w="1584"/>
            <w:tcMar>
              <w:top w:w="42" w:type="dxa"/>
              <w:bottom w:w="42" w:type="dxa"/>
              <w:left w:w="70" w:type="dxa"/>
              <w:right w:w="70" w:type="dxa"/>
            </w:tcMar>
            <w:shd w:fill="EBF1F5"/>
            <w:vAlign w:val="center"/>
          </w:tcPr>
          <w:p>
            <w:pPr>
              <w:spacing w:before="0" w:after="0"/>
              <w:jc w:val="center"/>
            </w:pPr>
            <w:r>
              <w:rPr>
                <w:rFonts w:ascii="Times New Roman" w:hAnsi="Times New Roman"/>
                <w:b/>
                <w:sz w:val="20"/>
              </w:rPr>
              <w:t>Train Accuracy</w:t>
            </w:r>
          </w:p>
        </w:tc>
        <w:tc>
          <w:tcPr>
            <w:tcW w:type="dxa" w:w="1584"/>
            <w:tcMar>
              <w:top w:w="42" w:type="dxa"/>
              <w:bottom w:w="42" w:type="dxa"/>
              <w:left w:w="70" w:type="dxa"/>
              <w:right w:w="70" w:type="dxa"/>
            </w:tcMar>
            <w:shd w:fill="EBF1F5"/>
            <w:vAlign w:val="center"/>
          </w:tcPr>
          <w:p>
            <w:pPr>
              <w:spacing w:before="0" w:after="0"/>
              <w:jc w:val="center"/>
            </w:pPr>
            <w:r>
              <w:rPr>
                <w:rFonts w:ascii="Times New Roman" w:hAnsi="Times New Roman"/>
                <w:b/>
                <w:sz w:val="20"/>
              </w:rPr>
              <w:t>Test Accuracy</w:t>
            </w:r>
          </w:p>
        </w:tc>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Overfit Gap</w:t>
            </w:r>
          </w:p>
        </w:tc>
        <w:tc>
          <w:tcPr>
            <w:tcW w:type="dxa" w:w="2160"/>
            <w:tcMar>
              <w:top w:w="42" w:type="dxa"/>
              <w:bottom w:w="42" w:type="dxa"/>
              <w:left w:w="70" w:type="dxa"/>
              <w:right w:w="70" w:type="dxa"/>
            </w:tcMar>
            <w:shd w:fill="EBF1F5"/>
            <w:vAlign w:val="center"/>
          </w:tcPr>
          <w:p>
            <w:pPr>
              <w:spacing w:before="0" w:after="0"/>
              <w:jc w:val="center"/>
            </w:pPr>
            <w:r>
              <w:rPr>
                <w:rFonts w:ascii="Times New Roman" w:hAnsi="Times New Roman"/>
                <w:b/>
                <w:sz w:val="20"/>
              </w:rPr>
              <w:t>Status / Decision</w:t>
            </w:r>
          </w:p>
        </w:tc>
      </w:tr>
      <w:tr>
        <w:tc>
          <w:tcPr>
            <w:tcW w:type="dxa" w:w="3168"/>
            <w:tcMar>
              <w:top w:w="30" w:type="dxa"/>
              <w:bottom w:w="30" w:type="dxa"/>
              <w:left w:w="70" w:type="dxa"/>
              <w:right w:w="70" w:type="dxa"/>
            </w:tcMar>
            <w:vAlign w:val="center"/>
          </w:tcPr>
          <w:p>
            <w:pPr>
              <w:spacing w:before="0" w:after="0" w:line="276" w:lineRule="auto"/>
              <w:jc w:val="center"/>
            </w:pPr>
            <w:r>
              <w:rPr>
                <w:rFonts w:ascii="Times New Roman" w:hAnsi="Times New Roman"/>
                <w:sz w:val="19"/>
              </w:rPr>
              <w:t>Before Tuning (Default Random Forest)</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1.0000</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0.8689</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0.1311</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Overfitting on training partition</w:t>
            </w:r>
          </w:p>
        </w:tc>
      </w:tr>
      <w:tr>
        <w:tc>
          <w:tcPr>
            <w:tcW w:type="dxa" w:w="3168"/>
            <w:tcMar>
              <w:top w:w="30" w:type="dxa"/>
              <w:bottom w:w="30" w:type="dxa"/>
              <w:left w:w="70" w:type="dxa"/>
              <w:right w:w="70" w:type="dxa"/>
            </w:tcMar>
            <w:vAlign w:val="center"/>
          </w:tcPr>
          <w:p>
            <w:pPr>
              <w:spacing w:before="0" w:after="0" w:line="276" w:lineRule="auto"/>
              <w:jc w:val="center"/>
            </w:pPr>
            <w:r>
              <w:rPr>
                <w:rFonts w:ascii="Times New Roman" w:hAnsi="Times New Roman"/>
                <w:sz w:val="19"/>
              </w:rPr>
              <w:t>After GridSearchCV Tuning</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0.9380</w:t>
            </w:r>
          </w:p>
        </w:tc>
        <w:tc>
          <w:tcPr>
            <w:tcW w:type="dxa" w:w="1584"/>
            <w:tcMar>
              <w:top w:w="30" w:type="dxa"/>
              <w:bottom w:w="30" w:type="dxa"/>
              <w:left w:w="70" w:type="dxa"/>
              <w:right w:w="70" w:type="dxa"/>
            </w:tcMar>
            <w:vAlign w:val="center"/>
          </w:tcPr>
          <w:p>
            <w:pPr>
              <w:spacing w:before="0" w:after="0" w:line="276" w:lineRule="auto"/>
              <w:jc w:val="center"/>
            </w:pPr>
            <w:r>
              <w:rPr>
                <w:rFonts w:ascii="Times New Roman" w:hAnsi="Times New Roman"/>
                <w:sz w:val="19"/>
              </w:rPr>
              <w:t>0.8852</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0.0528</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OPTIMAL: Lower gap, higher test accuracy</w:t>
            </w:r>
          </w:p>
        </w:tc>
      </w:tr>
    </w:tbl>
    <w:p>
      <w:pPr>
        <w:spacing w:after="20"/>
      </w:pPr>
    </w:p>
    <w:p>
      <w:pPr>
        <w:keepNext/>
        <w:spacing w:before="160" w:after="40"/>
        <w:jc w:val="left"/>
      </w:pPr>
      <w:r>
        <w:rPr>
          <w:rFonts w:ascii="Times New Roman" w:hAnsi="Times New Roman"/>
          <w:b/>
          <w:sz w:val="24"/>
        </w:rPr>
        <w:t>3.2.9 Single Patient Inference and Clinical Validation</w:t>
      </w:r>
    </w:p>
    <w:p>
      <w:pPr>
        <w:spacing w:before="0" w:after="60" w:line="324" w:lineRule="auto"/>
        <w:jc w:val="both"/>
      </w:pPr>
      <w:r>
        <w:rPr>
          <w:rFonts w:ascii="Times New Roman" w:hAnsi="Times New Roman"/>
          <w:sz w:val="24"/>
        </w:rPr>
        <w:t>The tuned Random Forest model was deployed on a held-out clinical validation subject with the following profile: age 56, male, asymptomatic chest pain (cp = 4), resting blood pressure 125 mm Hg, cholesterol 249 mg/dl, exercise-induced angina present (exang = 1), and ST depression oldpeak = 1.2. The model returned a predicted class of 1 (presence of heart disease) with a confidence probability of 80.98%, successfully matching the patient's actual medical diagnosis.</w:t>
      </w:r>
    </w:p>
    <w:p>
      <w:pPr>
        <w:keepNext/>
        <w:spacing w:before="200" w:after="60"/>
        <w:jc w:val="left"/>
      </w:pPr>
      <w:r>
        <w:rPr>
          <w:rFonts w:ascii="Times New Roman" w:hAnsi="Times New Roman"/>
          <w:b/>
          <w:sz w:val="28"/>
        </w:rPr>
        <w:t>3.3 Mini Project 2: Software Development Using Generative AI</w:t>
      </w:r>
    </w:p>
    <w:p>
      <w:pPr>
        <w:spacing w:before="0" w:after="60" w:line="324" w:lineRule="auto"/>
        <w:jc w:val="both"/>
      </w:pPr>
      <w:r>
        <w:rPr>
          <w:rFonts w:ascii="Times New Roman" w:hAnsi="Times New Roman"/>
          <w:i/>
          <w:sz w:val="24"/>
        </w:rPr>
        <w:t xml:space="preserve">System Implementation: </w:t>
      </w:r>
      <w:r>
        <w:rPr>
          <w:rFonts w:ascii="Times New Roman" w:hAnsi="Times New Roman"/>
          <w:sz w:val="24"/>
        </w:rPr>
        <w:t>Mini Project 2 demonstrated the application of Generative AI across all seven phases of the Software Development Life Cycle (SDLC) by building a complete College Library Management System using specialized AI platforms at each stage.</w:t>
      </w:r>
    </w:p>
    <w:p>
      <w:pPr>
        <w:keepNext/>
        <w:spacing w:before="160" w:after="40"/>
        <w:jc w:val="left"/>
      </w:pPr>
      <w:r>
        <w:rPr>
          <w:rFonts w:ascii="Times New Roman" w:hAnsi="Times New Roman"/>
          <w:b/>
          <w:sz w:val="24"/>
        </w:rPr>
        <w:t>3.3.1 Phase 1: Requirements Analysis and Agile User Stories</w:t>
      </w:r>
    </w:p>
    <w:p>
      <w:pPr>
        <w:spacing w:before="0" w:after="60" w:line="324" w:lineRule="auto"/>
        <w:jc w:val="both"/>
      </w:pPr>
      <w:r>
        <w:rPr>
          <w:rFonts w:ascii="Times New Roman" w:hAnsi="Times New Roman"/>
          <w:sz w:val="24"/>
        </w:rPr>
        <w:t>Requirements engineering used ChatGPT to analyze 12 raw feedback statements collected from university students, library staff, and faculty members regarding book reservation delays, fine calculation disputes, and inventory search issues. Generative AI extracted, categorized, and prioritized eight core functional requirements into a structured specification table:</w:t>
      </w:r>
    </w:p>
    <w:p>
      <w:pPr>
        <w:keepNext/>
        <w:spacing w:before="120" w:after="40"/>
        <w:jc w:val="center"/>
      </w:pPr>
      <w:r>
        <w:rPr>
          <w:rFonts w:ascii="Times New Roman" w:hAnsi="Times New Roman"/>
          <w:b/>
          <w:sz w:val="21"/>
        </w:rPr>
        <w:t>Table 3.5: College Library Management System Requirements Specification Table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Requirement ID</w:t>
            </w:r>
          </w:p>
        </w:tc>
        <w:tc>
          <w:tcPr>
            <w:tcW w:type="dxa" w:w="4032"/>
            <w:tcMar>
              <w:top w:w="42" w:type="dxa"/>
              <w:bottom w:w="42" w:type="dxa"/>
              <w:left w:w="70" w:type="dxa"/>
              <w:right w:w="70" w:type="dxa"/>
            </w:tcMar>
            <w:shd w:fill="EBF1F5"/>
            <w:vAlign w:val="center"/>
          </w:tcPr>
          <w:p>
            <w:pPr>
              <w:spacing w:before="0" w:after="0"/>
              <w:jc w:val="center"/>
            </w:pPr>
            <w:r>
              <w:rPr>
                <w:rFonts w:ascii="Times New Roman" w:hAnsi="Times New Roman"/>
                <w:b/>
                <w:sz w:val="20"/>
              </w:rPr>
              <w:t>Requirement Description</w:t>
            </w:r>
          </w:p>
        </w:tc>
        <w:tc>
          <w:tcPr>
            <w:tcW w:type="dxa" w:w="1872"/>
            <w:tcMar>
              <w:top w:w="42" w:type="dxa"/>
              <w:bottom w:w="42" w:type="dxa"/>
              <w:left w:w="70" w:type="dxa"/>
              <w:right w:w="70" w:type="dxa"/>
            </w:tcMar>
            <w:shd w:fill="EBF1F5"/>
            <w:vAlign w:val="center"/>
          </w:tcPr>
          <w:p>
            <w:pPr>
              <w:spacing w:before="0" w:after="0"/>
              <w:jc w:val="center"/>
            </w:pPr>
            <w:r>
              <w:rPr>
                <w:rFonts w:ascii="Times New Roman" w:hAnsi="Times New Roman"/>
                <w:b/>
                <w:sz w:val="20"/>
              </w:rPr>
              <w:t>Category</w:t>
            </w:r>
          </w:p>
        </w:tc>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Priority Level</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REQ-01</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Search catalog by book title, author, or genre</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Catalog Search</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REQ-02</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Check real-time copy availability for borrowing</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Circulation</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REQ-03</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Issue book checkout and generate due date stamp</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Transactions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REQ-04</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Process book returns and update inventory counts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Transactions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REQ-05</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Reserve checked-out books for upcoming loan queues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Reservations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Medium</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REQ-06</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Calculate late return fines automatically at Rs 5 per day</w:t>
            </w:r>
          </w:p>
        </w:tc>
        <w:tc>
          <w:tcPr>
            <w:tcW w:type="dxa" w:w="1872"/>
            <w:tcMar>
              <w:top w:w="30" w:type="dxa"/>
              <w:bottom w:w="30" w:type="dxa"/>
              <w:left w:w="70" w:type="dxa"/>
              <w:right w:w="70" w:type="dxa"/>
            </w:tcMar>
            <w:vAlign w:val="center"/>
          </w:tcPr>
          <w:p>
            <w:pPr>
              <w:spacing w:before="0" w:after="0" w:line="276" w:lineRule="auto"/>
              <w:jc w:val="left"/>
            </w:pPr>
            <w:r>
              <w:rPr>
                <w:rFonts w:ascii="Times New Roman" w:hAnsi="Times New Roman"/>
                <w:sz w:val="19"/>
              </w:rPr>
              <w:t>Billing / Fines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Medium</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REQ-07</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Student dashboard displaying active loans and fines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User Account</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r>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REQ-08</w:t>
            </w:r>
          </w:p>
        </w:tc>
        <w:tc>
          <w:tcPr>
            <w:tcW w:type="dxa" w:w="4032"/>
            <w:tcMar>
              <w:top w:w="30" w:type="dxa"/>
              <w:bottom w:w="30" w:type="dxa"/>
              <w:left w:w="70" w:type="dxa"/>
              <w:right w:w="70" w:type="dxa"/>
            </w:tcMar>
            <w:vAlign w:val="center"/>
          </w:tcPr>
          <w:p>
            <w:pPr>
              <w:spacing w:before="0" w:after="0" w:line="276" w:lineRule="auto"/>
              <w:jc w:val="left"/>
            </w:pPr>
            <w:r>
              <w:rPr>
                <w:rFonts w:ascii="Times New Roman" w:hAnsi="Times New Roman"/>
                <w:sz w:val="19"/>
              </w:rPr>
              <w:t>Librarian interface to register new book acquisitions</w:t>
            </w:r>
          </w:p>
        </w:tc>
        <w:tc>
          <w:tcPr>
            <w:tcW w:type="dxa" w:w="1872"/>
            <w:tcMar>
              <w:top w:w="30" w:type="dxa"/>
              <w:bottom w:w="30" w:type="dxa"/>
              <w:left w:w="70" w:type="dxa"/>
              <w:right w:w="70" w:type="dxa"/>
            </w:tcMar>
            <w:vAlign w:val="center"/>
          </w:tcPr>
          <w:p>
            <w:pPr>
              <w:spacing w:before="0" w:after="0" w:line="276" w:lineRule="auto"/>
              <w:jc w:val="center"/>
            </w:pPr>
            <w:r>
              <w:rPr>
                <w:rFonts w:ascii="Times New Roman" w:hAnsi="Times New Roman"/>
                <w:sz w:val="19"/>
              </w:rPr>
              <w:t>Administration</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Low</w:t>
            </w:r>
          </w:p>
        </w:tc>
      </w:tr>
    </w:tbl>
    <w:p>
      <w:pPr>
        <w:spacing w:after="20"/>
      </w:pPr>
    </w:p>
    <w:p>
      <w:pPr>
        <w:spacing w:before="0" w:after="60" w:line="324" w:lineRule="auto"/>
        <w:jc w:val="both"/>
      </w:pPr>
      <w:r>
        <w:rPr>
          <w:rFonts w:ascii="Times New Roman" w:hAnsi="Times New Roman"/>
          <w:sz w:val="24"/>
        </w:rPr>
        <w:t>High-priority requirements were converted into standard Agile user stories (e.g., 'As a student, I want to search for textbooks by title and check available copies so that I can borrow them without visiting the desk unnecessarily'). In addition, five Non-Functional Requirements (NFRs) were established:</w:t>
      </w:r>
    </w:p>
    <w:p>
      <w:pPr>
        <w:keepNext/>
        <w:spacing w:before="120" w:after="40"/>
        <w:jc w:val="center"/>
      </w:pPr>
      <w:r>
        <w:rPr>
          <w:rFonts w:ascii="Times New Roman" w:hAnsi="Times New Roman"/>
          <w:b/>
          <w:sz w:val="21"/>
        </w:rPr>
        <w:t>Table 3.6: Non-Functional Requirements (NFRs) for Library Application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NFR ID</w:t>
            </w:r>
          </w:p>
        </w:tc>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Quality Attribute</w:t>
            </w:r>
          </w:p>
        </w:tc>
        <w:tc>
          <w:tcPr>
            <w:tcW w:type="dxa" w:w="5328"/>
            <w:tcMar>
              <w:top w:w="42" w:type="dxa"/>
              <w:bottom w:w="42" w:type="dxa"/>
              <w:left w:w="70" w:type="dxa"/>
              <w:right w:w="70" w:type="dxa"/>
            </w:tcMar>
            <w:shd w:fill="EBF1F5"/>
            <w:vAlign w:val="center"/>
          </w:tcPr>
          <w:p>
            <w:pPr>
              <w:spacing w:before="0" w:after="0"/>
              <w:jc w:val="center"/>
            </w:pPr>
            <w:r>
              <w:rPr>
                <w:rFonts w:ascii="Times New Roman" w:hAnsi="Times New Roman"/>
                <w:b/>
                <w:sz w:val="20"/>
              </w:rPr>
              <w:t>Specification Metric / Target Standard</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NFR-01</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Performance</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Catalog search and availability query response times under 200 ms</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NFR-02</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Data Integrity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ACID transactional consistency for inventory decrements on book checkouts</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NFR-03</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Availability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99.5% service uptime during campus operational library hours</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NFR-04</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Security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Student authentication and parameter validation against SQL injection</w:t>
            </w:r>
          </w:p>
        </w:tc>
      </w:tr>
      <w:tr>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NFR-05</w:t>
            </w:r>
          </w:p>
        </w:tc>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Usability</w:t>
            </w:r>
          </w:p>
        </w:tc>
        <w:tc>
          <w:tcPr>
            <w:tcW w:type="dxa" w:w="5328"/>
            <w:tcMar>
              <w:top w:w="30" w:type="dxa"/>
              <w:bottom w:w="30" w:type="dxa"/>
              <w:left w:w="70" w:type="dxa"/>
              <w:right w:w="70" w:type="dxa"/>
            </w:tcMar>
            <w:vAlign w:val="center"/>
          </w:tcPr>
          <w:p>
            <w:pPr>
              <w:spacing w:before="0" w:after="0" w:line="276" w:lineRule="auto"/>
              <w:jc w:val="left"/>
            </w:pPr>
            <w:r>
              <w:rPr>
                <w:rFonts w:ascii="Times New Roman" w:hAnsi="Times New Roman"/>
                <w:sz w:val="19"/>
              </w:rPr>
              <w:t>Responsive user interface accessible on standard desktop and mobile browsers</w:t>
            </w:r>
          </w:p>
        </w:tc>
      </w:tr>
    </w:tbl>
    <w:p>
      <w:pPr>
        <w:spacing w:after="20"/>
      </w:pPr>
    </w:p>
    <w:p>
      <w:pPr>
        <w:keepNext/>
        <w:spacing w:before="160" w:after="40"/>
        <w:jc w:val="left"/>
      </w:pPr>
      <w:r>
        <w:rPr>
          <w:rFonts w:ascii="Times New Roman" w:hAnsi="Times New Roman"/>
          <w:b/>
          <w:sz w:val="24"/>
        </w:rPr>
        <w:t>3.3.2 Phase 2: UI Wireframe Design using Visily AI</w:t>
      </w:r>
    </w:p>
    <w:p>
      <w:pPr>
        <w:spacing w:before="0" w:after="60" w:line="324" w:lineRule="auto"/>
        <w:jc w:val="both"/>
      </w:pPr>
      <w:r>
        <w:rPr>
          <w:rFonts w:ascii="Times New Roman" w:hAnsi="Times New Roman"/>
          <w:sz w:val="24"/>
        </w:rPr>
        <w:t>Using the AI wireframing platform Visily (app.visily.ai), user interface layouts were generated from structured natural language prompts. Three primary application screens were designed:</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Home Screen: </w:t>
      </w:r>
      <w:r>
        <w:rPr>
          <w:rFonts w:ascii="Times New Roman" w:hAnsi="Times New Roman"/>
          <w:sz w:val="24"/>
        </w:rPr>
        <w:t>Home Screen: Features a top navigation bar, global book search input, categorized genre pills (Computer Science, Mathematics, Literature), and a card grid displaying featured books with cover thumbnails, author credits, and live availability badges.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Action Screen: </w:t>
      </w:r>
      <w:r>
        <w:rPr>
          <w:rFonts w:ascii="Times New Roman" w:hAnsi="Times New Roman"/>
          <w:sz w:val="24"/>
        </w:rPr>
        <w:t>Main Action Screen: A checkout and return modal allowing students to enter their Student ID, select an available Book ID, verify loan duration (default 14 days), and submit borrowing transactions with validation messages.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Dashboard Screen: </w:t>
      </w:r>
      <w:r>
        <w:rPr>
          <w:rFonts w:ascii="Times New Roman" w:hAnsi="Times New Roman"/>
          <w:sz w:val="24"/>
        </w:rPr>
        <w:t>User Dashboard Screen: A summary panel showing current active loans, calculated return deadlines, overdue warning alerts, and outstanding fines.</w:t>
      </w:r>
    </w:p>
    <w:p>
      <w:pPr>
        <w:keepNext/>
        <w:spacing w:before="80" w:after="20"/>
        <w:jc w:val="center"/>
      </w:pPr>
      <w:r>
        <w:drawing>
          <wp:inline xmlns:a="http://schemas.openxmlformats.org/drawingml/2006/main" xmlns:pic="http://schemas.openxmlformats.org/drawingml/2006/picture">
            <wp:extent cx="5486400" cy="2720051"/>
            <wp:docPr id="13" name="Picture 13"/>
            <wp:cNvGraphicFramePr>
              <a:graphicFrameLocks noChangeAspect="1"/>
            </wp:cNvGraphicFramePr>
            <a:graphic>
              <a:graphicData uri="http://schemas.openxmlformats.org/drawingml/2006/picture">
                <pic:pic>
                  <pic:nvPicPr>
                    <pic:cNvPr id="0" name="fig3_7_visily_wireframes.png"/>
                    <pic:cNvPicPr/>
                  </pic:nvPicPr>
                  <pic:blipFill>
                    <a:blip r:embed="rId21"/>
                    <a:stretch>
                      <a:fillRect/>
                    </a:stretch>
                  </pic:blipFill>
                  <pic:spPr>
                    <a:xfrm>
                      <a:off x="0" y="0"/>
                      <a:ext cx="5486400" cy="2720051"/>
                    </a:xfrm>
                    <a:prstGeom prst="rect"/>
                  </pic:spPr>
                </pic:pic>
              </a:graphicData>
            </a:graphic>
          </wp:inline>
        </w:drawing>
      </w:r>
    </w:p>
    <w:p>
      <w:pPr>
        <w:keepNext/>
        <w:spacing w:before="20" w:after="120"/>
        <w:jc w:val="center"/>
      </w:pPr>
      <w:r>
        <w:rPr>
          <w:rFonts w:ascii="Times New Roman" w:hAnsi="Times New Roman"/>
          <w:i/>
          <w:sz w:val="21"/>
        </w:rPr>
        <w:t>Fig 3.7: Visily UI Wireframes for College Library Management System Screens</w:t>
      </w:r>
    </w:p>
    <w:p>
      <w:pPr>
        <w:keepNext/>
        <w:spacing w:before="160" w:after="40"/>
        <w:jc w:val="left"/>
      </w:pPr>
      <w:r>
        <w:rPr>
          <w:rFonts w:ascii="Times New Roman" w:hAnsi="Times New Roman"/>
          <w:b/>
          <w:sz w:val="24"/>
        </w:rPr>
        <w:t>3.3.3 Phase 3: System Architecture and Relational Schema Design using Eraser.io</w:t>
      </w:r>
    </w:p>
    <w:p>
      <w:pPr>
        <w:spacing w:before="0" w:after="60" w:line="324" w:lineRule="auto"/>
        <w:jc w:val="both"/>
      </w:pPr>
      <w:r>
        <w:rPr>
          <w:rFonts w:ascii="Times New Roman" w:hAnsi="Times New Roman"/>
          <w:sz w:val="24"/>
        </w:rPr>
        <w:t>The technical architecture was designed using Eraser.io. A multi-tier architecture was established consisting of a Presentation Tier (HTML/CSS browser interface), an Application Logic Tier (Python service layer handling transactions, date validation, and business logic), a Data Storage Tier (SQLite relational database), and an External Integration Layer (simulated email notifications for due date reminders).</w:t>
      </w:r>
    </w:p>
    <w:p>
      <w:pPr>
        <w:keepNext/>
        <w:spacing w:before="80" w:after="20"/>
        <w:jc w:val="center"/>
      </w:pPr>
      <w:r>
        <w:drawing>
          <wp:inline xmlns:a="http://schemas.openxmlformats.org/drawingml/2006/main" xmlns:pic="http://schemas.openxmlformats.org/drawingml/2006/picture">
            <wp:extent cx="5486400" cy="2554514"/>
            <wp:docPr id="14" name="Picture 14"/>
            <wp:cNvGraphicFramePr>
              <a:graphicFrameLocks noChangeAspect="1"/>
            </wp:cNvGraphicFramePr>
            <a:graphic>
              <a:graphicData uri="http://schemas.openxmlformats.org/drawingml/2006/picture">
                <pic:pic>
                  <pic:nvPicPr>
                    <pic:cNvPr id="0" name="fig3_8_eraser_architecture.png"/>
                    <pic:cNvPicPr/>
                  </pic:nvPicPr>
                  <pic:blipFill>
                    <a:blip r:embed="rId22"/>
                    <a:stretch>
                      <a:fillRect/>
                    </a:stretch>
                  </pic:blipFill>
                  <pic:spPr>
                    <a:xfrm>
                      <a:off x="0" y="0"/>
                      <a:ext cx="5486400" cy="2554514"/>
                    </a:xfrm>
                    <a:prstGeom prst="rect"/>
                  </pic:spPr>
                </pic:pic>
              </a:graphicData>
            </a:graphic>
          </wp:inline>
        </w:drawing>
      </w:r>
    </w:p>
    <w:p>
      <w:pPr>
        <w:keepNext/>
        <w:spacing w:before="20" w:after="120"/>
        <w:jc w:val="center"/>
      </w:pPr>
      <w:r>
        <w:rPr>
          <w:rFonts w:ascii="Times New Roman" w:hAnsi="Times New Roman"/>
          <w:i/>
          <w:sz w:val="21"/>
        </w:rPr>
        <w:t>Fig 3.8: Multi-Tier System Architecture Diagram Generated with Eraser.io</w:t>
      </w:r>
    </w:p>
    <w:p>
      <w:pPr>
        <w:spacing w:before="0" w:after="60" w:line="324" w:lineRule="auto"/>
        <w:jc w:val="both"/>
      </w:pPr>
      <w:r>
        <w:rPr>
          <w:rFonts w:ascii="Times New Roman" w:hAnsi="Times New Roman"/>
          <w:sz w:val="24"/>
        </w:rPr>
        <w:t>The relational database schema was designed to satisfy third normal form (3NF). It partitions entities into five distinct tables: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Students: </w:t>
      </w:r>
      <w:r>
        <w:rPr>
          <w:rFonts w:ascii="Times New Roman" w:hAnsi="Times New Roman"/>
          <w:sz w:val="24"/>
        </w:rPr>
        <w:t>Students: Stores student_id (PK), full_name, email, and department.</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Books: </w:t>
      </w:r>
      <w:r>
        <w:rPr>
          <w:rFonts w:ascii="Times New Roman" w:hAnsi="Times New Roman"/>
          <w:sz w:val="24"/>
        </w:rPr>
        <w:t>Books: Stores book_id (PK), title, author, isbn, genre, total_copies, and available_copies, with CHECK (available_copies &gt;= 0).</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Borrows: </w:t>
      </w:r>
      <w:r>
        <w:rPr>
          <w:rFonts w:ascii="Times New Roman" w:hAnsi="Times New Roman"/>
          <w:sz w:val="24"/>
        </w:rPr>
        <w:t>Borrows: Records borrow_id (PK), student_id (FK), book_id (FK), borrow_date, due_date, return_date, and status ('Active', 'Returned', 'Overdue').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Reservations: </w:t>
      </w:r>
      <w:r>
        <w:rPr>
          <w:rFonts w:ascii="Times New Roman" w:hAnsi="Times New Roman"/>
          <w:sz w:val="24"/>
        </w:rPr>
        <w:t>Reservations: Records reservation_id (PK), student_id (FK), book_id (FK), reservation_date, and status ('Pending', 'Fulfilled', 'Cancelled'). Kept separate from Borrows because reservations represent future loan requests rather than active loans.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Fines: </w:t>
      </w:r>
      <w:r>
        <w:rPr>
          <w:rFonts w:ascii="Times New Roman" w:hAnsi="Times New Roman"/>
          <w:sz w:val="24"/>
        </w:rPr>
        <w:t>Fines: Stores fine_id (PK), borrow_id (FK), amount, and payment_status ('Unpaid', 'Paid'). Kept separate from Borrows since not all checkouts incur fines, keeping active borrowing records clean.</w:t>
      </w:r>
    </w:p>
    <w:p>
      <w:pPr>
        <w:keepNext/>
        <w:spacing w:before="80" w:after="20"/>
        <w:jc w:val="center"/>
      </w:pPr>
      <w:r>
        <w:drawing>
          <wp:inline xmlns:a="http://schemas.openxmlformats.org/drawingml/2006/main" xmlns:pic="http://schemas.openxmlformats.org/drawingml/2006/picture">
            <wp:extent cx="5029200" cy="3938210"/>
            <wp:docPr id="15" name="Picture 15"/>
            <wp:cNvGraphicFramePr>
              <a:graphicFrameLocks noChangeAspect="1"/>
            </wp:cNvGraphicFramePr>
            <a:graphic>
              <a:graphicData uri="http://schemas.openxmlformats.org/drawingml/2006/picture">
                <pic:pic>
                  <pic:nvPicPr>
                    <pic:cNvPr id="0" name="fig3_9_eraser_erd.png"/>
                    <pic:cNvPicPr/>
                  </pic:nvPicPr>
                  <pic:blipFill>
                    <a:blip r:embed="rId23"/>
                    <a:stretch>
                      <a:fillRect/>
                    </a:stretch>
                  </pic:blipFill>
                  <pic:spPr>
                    <a:xfrm>
                      <a:off x="0" y="0"/>
                      <a:ext cx="5029200" cy="3938210"/>
                    </a:xfrm>
                    <a:prstGeom prst="rect"/>
                  </pic:spPr>
                </pic:pic>
              </a:graphicData>
            </a:graphic>
          </wp:inline>
        </w:drawing>
      </w:r>
    </w:p>
    <w:p>
      <w:pPr>
        <w:keepNext/>
        <w:spacing w:before="20" w:after="120"/>
        <w:jc w:val="center"/>
      </w:pPr>
      <w:r>
        <w:rPr>
          <w:rFonts w:ascii="Times New Roman" w:hAnsi="Times New Roman"/>
          <w:i/>
          <w:sz w:val="21"/>
        </w:rPr>
        <w:t>Fig 3.9: Eraser.io Entity Relationship Diagram for Library Relational Database</w:t>
      </w:r>
    </w:p>
    <w:p>
      <w:pPr>
        <w:keepNext/>
        <w:spacing w:before="160" w:after="40"/>
        <w:jc w:val="left"/>
      </w:pPr>
      <w:r>
        <w:rPr>
          <w:rFonts w:ascii="Times New Roman" w:hAnsi="Times New Roman"/>
          <w:b/>
          <w:sz w:val="24"/>
        </w:rPr>
        <w:t>3.3.4 Phase 4: Application Development in Google Colab</w:t>
      </w:r>
    </w:p>
    <w:p>
      <w:pPr>
        <w:spacing w:before="0" w:after="60" w:line="324" w:lineRule="auto"/>
        <w:jc w:val="both"/>
      </w:pPr>
      <w:r>
        <w:rPr>
          <w:rFonts w:ascii="Times New Roman" w:hAnsi="Times New Roman"/>
          <w:sz w:val="24"/>
        </w:rPr>
        <w:t>Development was implemented in Google Colab across four modules using Python and SQLite: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1: </w:t>
      </w:r>
      <w:r>
        <w:rPr>
          <w:rFonts w:ascii="Times New Roman" w:hAnsi="Times New Roman"/>
          <w:sz w:val="24"/>
        </w:rPr>
        <w:t>Module 1 (Database Initialization): Created 'library.db' using sqlite3, executed DDL statements with primary and foreign keys, and seeded sample records for five books and three students. Verified table setups by printing record counts.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2: </w:t>
      </w:r>
      <w:r>
        <w:rPr>
          <w:rFonts w:ascii="Times New Roman" w:hAnsi="Times New Roman"/>
          <w:sz w:val="24"/>
        </w:rPr>
        <w:t>Module 2 (Core Data Functions): Implemented search_books(query), filter_by_genre(genre), and get_student_loans(student_id) functions, returning formatted tabular results.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3: </w:t>
      </w:r>
      <w:r>
        <w:rPr>
          <w:rFonts w:ascii="Times New Roman" w:hAnsi="Times New Roman"/>
          <w:sz w:val="24"/>
        </w:rPr>
        <w:t>Module 3 (Main Business Function): Created the borrow_book(student_id, book_id) function. This function validates student existence, checks that available_copies &gt; 0, verifies the student has fewer than 3 active loans, inserts a new loan record into Borrows with a 14-day due date, decrements available_copies in Books atomically, and commits the transaction.</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Module 4: </w:t>
      </w:r>
      <w:r>
        <w:rPr>
          <w:rFonts w:ascii="Times New Roman" w:hAnsi="Times New Roman"/>
          <w:sz w:val="24"/>
        </w:rPr>
        <w:t>Module 4 (HTML Frontend): Rendered a dynamic HTML interface directly in Colab using IPython.display.HTML. The interface queries the database to display a catalog card grid, loan status badges, and transaction summaries.</w:t>
      </w:r>
    </w:p>
    <w:p>
      <w:pPr>
        <w:keepNext/>
        <w:spacing w:before="80" w:after="20"/>
        <w:jc w:val="center"/>
      </w:pPr>
      <w:r>
        <w:drawing>
          <wp:inline xmlns:a="http://schemas.openxmlformats.org/drawingml/2006/main" xmlns:pic="http://schemas.openxmlformats.org/drawingml/2006/picture">
            <wp:extent cx="5486400" cy="2996284"/>
            <wp:docPr id="16" name="Picture 16"/>
            <wp:cNvGraphicFramePr>
              <a:graphicFrameLocks noChangeAspect="1"/>
            </wp:cNvGraphicFramePr>
            <a:graphic>
              <a:graphicData uri="http://schemas.openxmlformats.org/drawingml/2006/picture">
                <pic:pic>
                  <pic:nvPicPr>
                    <pic:cNvPr id="0" name="fig3_10_html_frontend.png"/>
                    <pic:cNvPicPr/>
                  </pic:nvPicPr>
                  <pic:blipFill>
                    <a:blip r:embed="rId24"/>
                    <a:stretch>
                      <a:fillRect/>
                    </a:stretch>
                  </pic:blipFill>
                  <pic:spPr>
                    <a:xfrm>
                      <a:off x="0" y="0"/>
                      <a:ext cx="5486400" cy="2996284"/>
                    </a:xfrm>
                    <a:prstGeom prst="rect"/>
                  </pic:spPr>
                </pic:pic>
              </a:graphicData>
            </a:graphic>
          </wp:inline>
        </w:drawing>
      </w:r>
    </w:p>
    <w:p>
      <w:pPr>
        <w:keepNext/>
        <w:spacing w:before="20" w:after="120"/>
        <w:jc w:val="center"/>
      </w:pPr>
      <w:r>
        <w:rPr>
          <w:rFonts w:ascii="Times New Roman" w:hAnsi="Times New Roman"/>
          <w:i/>
          <w:sz w:val="21"/>
        </w:rPr>
        <w:t>Fig 3.10: Interactive HTML Frontend Interface Rendered inside Google Colab</w:t>
      </w:r>
    </w:p>
    <w:p>
      <w:pPr>
        <w:keepNext/>
        <w:spacing w:before="160" w:after="40"/>
        <w:jc w:val="left"/>
      </w:pPr>
      <w:r>
        <w:rPr>
          <w:rFonts w:ascii="Times New Roman" w:hAnsi="Times New Roman"/>
          <w:b/>
          <w:sz w:val="24"/>
        </w:rPr>
        <w:t>3.3.5 Phase 5: Automated Testing Suite and Validation</w:t>
      </w:r>
    </w:p>
    <w:p>
      <w:pPr>
        <w:spacing w:before="0" w:after="60" w:line="324" w:lineRule="auto"/>
        <w:jc w:val="both"/>
      </w:pPr>
      <w:r>
        <w:rPr>
          <w:rFonts w:ascii="Times New Roman" w:hAnsi="Times New Roman"/>
          <w:sz w:val="24"/>
        </w:rPr>
        <w:t>An automated test suite was developed and run in Google Colab to verify system correctness across four testing categories, covering a total of 10 test cases:</w:t>
      </w:r>
    </w:p>
    <w:p>
      <w:pPr>
        <w:keepNext/>
        <w:spacing w:before="120" w:after="40"/>
        <w:jc w:val="center"/>
      </w:pPr>
      <w:r>
        <w:rPr>
          <w:rFonts w:ascii="Times New Roman" w:hAnsi="Times New Roman"/>
          <w:b/>
          <w:sz w:val="21"/>
        </w:rPr>
        <w:t>Table 3.7: Automated Test Suite Execution Summary across Four Testing Modules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Test Module</w:t>
            </w:r>
          </w:p>
        </w:tc>
        <w:tc>
          <w:tcPr>
            <w:tcW w:type="dxa" w:w="3744"/>
            <w:tcMar>
              <w:top w:w="42" w:type="dxa"/>
              <w:bottom w:w="42" w:type="dxa"/>
              <w:left w:w="70" w:type="dxa"/>
              <w:right w:w="70" w:type="dxa"/>
            </w:tcMar>
            <w:shd w:fill="EBF1F5"/>
            <w:vAlign w:val="center"/>
          </w:tcPr>
          <w:p>
            <w:pPr>
              <w:spacing w:before="0" w:after="0"/>
              <w:jc w:val="center"/>
            </w:pPr>
            <w:r>
              <w:rPr>
                <w:rFonts w:ascii="Times New Roman" w:hAnsi="Times New Roman"/>
                <w:b/>
                <w:sz w:val="20"/>
              </w:rPr>
              <w:t>Test Focus Area</w:t>
            </w:r>
          </w:p>
        </w:tc>
        <w:tc>
          <w:tcPr>
            <w:tcW w:type="dxa" w:w="1152"/>
            <w:tcMar>
              <w:top w:w="42" w:type="dxa"/>
              <w:bottom w:w="42" w:type="dxa"/>
              <w:left w:w="70" w:type="dxa"/>
              <w:right w:w="70" w:type="dxa"/>
            </w:tcMar>
            <w:shd w:fill="EBF1F5"/>
            <w:vAlign w:val="center"/>
          </w:tcPr>
          <w:p>
            <w:pPr>
              <w:spacing w:before="0" w:after="0"/>
              <w:jc w:val="center"/>
            </w:pPr>
            <w:r>
              <w:rPr>
                <w:rFonts w:ascii="Times New Roman" w:hAnsi="Times New Roman"/>
                <w:b/>
                <w:sz w:val="20"/>
              </w:rPr>
              <w:t>Cases Run</w:t>
            </w:r>
          </w:p>
        </w:tc>
        <w:tc>
          <w:tcPr>
            <w:tcW w:type="dxa" w:w="1008"/>
            <w:tcMar>
              <w:top w:w="42" w:type="dxa"/>
              <w:bottom w:w="42" w:type="dxa"/>
              <w:left w:w="70" w:type="dxa"/>
              <w:right w:w="70" w:type="dxa"/>
            </w:tcMar>
            <w:shd w:fill="EBF1F5"/>
            <w:vAlign w:val="center"/>
          </w:tcPr>
          <w:p>
            <w:pPr>
              <w:spacing w:before="0" w:after="0"/>
              <w:jc w:val="center"/>
            </w:pPr>
            <w:r>
              <w:rPr>
                <w:rFonts w:ascii="Times New Roman" w:hAnsi="Times New Roman"/>
                <w:b/>
                <w:sz w:val="20"/>
              </w:rPr>
              <w:t>Passed</w:t>
            </w:r>
          </w:p>
        </w:tc>
        <w:tc>
          <w:tcPr>
            <w:tcW w:type="dxa" w:w="1152"/>
            <w:tcMar>
              <w:top w:w="42" w:type="dxa"/>
              <w:bottom w:w="42" w:type="dxa"/>
              <w:left w:w="70" w:type="dxa"/>
              <w:right w:w="70" w:type="dxa"/>
            </w:tcMar>
            <w:shd w:fill="EBF1F5"/>
            <w:vAlign w:val="center"/>
          </w:tcPr>
          <w:p>
            <w:pPr>
              <w:spacing w:before="0" w:after="0"/>
              <w:jc w:val="center"/>
            </w:pPr>
            <w:r>
              <w:rPr>
                <w:rFonts w:ascii="Times New Roman" w:hAnsi="Times New Roman"/>
                <w:b/>
                <w:sz w:val="20"/>
              </w:rPr>
              <w:t>Pass Rate</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A: Database Structure</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Verify all 5 tables exist with correct columns and primary keys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B: Data Quality Tests</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Check non-negative copy counts, non-null fields, valid emails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C: Business Logic Tests</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Verify copy decrement on checkout and proper due date creation</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3</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Module D: Edge Case Tests</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Attempt checkout when copies=0, invalid student IDs, duplicate loans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2</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TOTAL SUITE</w:t>
            </w:r>
          </w:p>
        </w:tc>
        <w:tc>
          <w:tcPr>
            <w:tcW w:type="dxa" w:w="3744"/>
            <w:tcMar>
              <w:top w:w="30" w:type="dxa"/>
              <w:bottom w:w="30" w:type="dxa"/>
              <w:left w:w="70" w:type="dxa"/>
              <w:right w:w="70" w:type="dxa"/>
            </w:tcMar>
            <w:vAlign w:val="center"/>
          </w:tcPr>
          <w:p>
            <w:pPr>
              <w:spacing w:before="0" w:after="0" w:line="276" w:lineRule="auto"/>
              <w:jc w:val="left"/>
            </w:pPr>
            <w:r>
              <w:rPr>
                <w:rFonts w:ascii="Times New Roman" w:hAnsi="Times New Roman"/>
                <w:sz w:val="19"/>
              </w:rPr>
              <w:t>Comprehensive automated verification across all system components</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w:t>
            </w:r>
          </w:p>
        </w:tc>
        <w:tc>
          <w:tcPr>
            <w:tcW w:type="dxa" w:w="1008"/>
            <w:tcMar>
              <w:top w:w="30" w:type="dxa"/>
              <w:bottom w:w="30" w:type="dxa"/>
              <w:left w:w="70" w:type="dxa"/>
              <w:right w:w="70" w:type="dxa"/>
            </w:tcMar>
            <w:vAlign w:val="center"/>
          </w:tcPr>
          <w:p>
            <w:pPr>
              <w:spacing w:before="0" w:after="0" w:line="276" w:lineRule="auto"/>
              <w:jc w:val="center"/>
            </w:pPr>
            <w:r>
              <w:rPr>
                <w:rFonts w:ascii="Times New Roman" w:hAnsi="Times New Roman"/>
                <w:sz w:val="19"/>
              </w:rPr>
              <w:t>10</w:t>
            </w:r>
          </w:p>
        </w:tc>
        <w:tc>
          <w:tcPr>
            <w:tcW w:type="dxa" w:w="1152"/>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w:t>
            </w:r>
          </w:p>
        </w:tc>
      </w:tr>
    </w:tbl>
    <w:p>
      <w:pPr>
        <w:spacing w:after="20"/>
      </w:pPr>
    </w:p>
    <w:p>
      <w:pPr>
        <w:keepNext/>
        <w:spacing w:before="80" w:after="20"/>
        <w:jc w:val="center"/>
      </w:pPr>
      <w:r>
        <w:drawing>
          <wp:inline xmlns:a="http://schemas.openxmlformats.org/drawingml/2006/main" xmlns:pic="http://schemas.openxmlformats.org/drawingml/2006/picture">
            <wp:extent cx="4572000" cy="2857500"/>
            <wp:docPr id="17" name="Picture 17"/>
            <wp:cNvGraphicFramePr>
              <a:graphicFrameLocks noChangeAspect="1"/>
            </wp:cNvGraphicFramePr>
            <a:graphic>
              <a:graphicData uri="http://schemas.openxmlformats.org/drawingml/2006/picture">
                <pic:pic>
                  <pic:nvPicPr>
                    <pic:cNvPr id="0" name="fig3_11_test_suite_output.png"/>
                    <pic:cNvPicPr/>
                  </pic:nvPicPr>
                  <pic:blipFill>
                    <a:blip r:embed="rId25"/>
                    <a:stretch>
                      <a:fillRect/>
                    </a:stretch>
                  </pic:blipFill>
                  <pic:spPr>
                    <a:xfrm>
                      <a:off x="0" y="0"/>
                      <a:ext cx="4572000" cy="2857500"/>
                    </a:xfrm>
                    <a:prstGeom prst="rect"/>
                  </pic:spPr>
                </pic:pic>
              </a:graphicData>
            </a:graphic>
          </wp:inline>
        </w:drawing>
      </w:r>
    </w:p>
    <w:p>
      <w:pPr>
        <w:keepNext/>
        <w:spacing w:before="20" w:after="120"/>
        <w:jc w:val="center"/>
      </w:pPr>
      <w:r>
        <w:rPr>
          <w:rFonts w:ascii="Times New Roman" w:hAnsi="Times New Roman"/>
          <w:i/>
          <w:sz w:val="21"/>
        </w:rPr>
        <w:t>Fig 3.11: Automated Test Suite Execution Output Showing 100% Pass Rate</w:t>
      </w:r>
    </w:p>
    <w:p>
      <w:pPr>
        <w:keepNext/>
        <w:spacing w:before="160" w:after="40"/>
        <w:jc w:val="left"/>
      </w:pPr>
      <w:r>
        <w:rPr>
          <w:rFonts w:ascii="Times New Roman" w:hAnsi="Times New Roman"/>
          <w:b/>
          <w:sz w:val="24"/>
        </w:rPr>
        <w:t>3.3.6 Phase 6: Simulated Deployment, Traffic Monitoring, and Automated Mitigation</w:t>
      </w:r>
    </w:p>
    <w:p>
      <w:pPr>
        <w:spacing w:before="0" w:after="60" w:line="324" w:lineRule="auto"/>
        <w:jc w:val="both"/>
      </w:pPr>
      <w:r>
        <w:rPr>
          <w:rFonts w:ascii="Times New Roman" w:hAnsi="Times New Roman"/>
          <w:sz w:val="24"/>
        </w:rPr>
        <w:t>Phase 6 simulated production telemetry monitoring and automated incident response in Google Colab. A 10-minute API traffic sequence was generated, logging simulated requests and response latencies at 1-minute intervals. A traffic spike was injected during minutes 4, 5, and 6 to model sudden exam-period query loads, causing response times to surge from baseline levels (~120 ms) up to 980 ms and 1450 ms.</w:t>
      </w:r>
    </w:p>
    <w:p>
      <w:pPr>
        <w:spacing w:before="0" w:after="60" w:line="324" w:lineRule="auto"/>
        <w:jc w:val="both"/>
      </w:pPr>
      <w:r>
        <w:rPr>
          <w:rFonts w:ascii="Times New Roman" w:hAnsi="Times New Roman"/>
          <w:sz w:val="24"/>
        </w:rPr>
        <w:t>The automated monitoring system logged alerts once latencies crossed a 500 ms warning threshold and a 1000 ms critical threshold. An automated mitigation script was triggered, simulating horizontal container scaling and temporary rate limiting. This brought API response times back under 200 ms by minute 8, demonstrating automated self-healing capabilities.</w:t>
      </w:r>
    </w:p>
    <w:p>
      <w:pPr>
        <w:keepNext/>
        <w:spacing w:before="80" w:after="20"/>
        <w:jc w:val="center"/>
      </w:pPr>
      <w:r>
        <w:drawing>
          <wp:inline xmlns:a="http://schemas.openxmlformats.org/drawingml/2006/main" xmlns:pic="http://schemas.openxmlformats.org/drawingml/2006/picture">
            <wp:extent cx="3840480" cy="4800600"/>
            <wp:docPr id="18" name="Picture 18"/>
            <wp:cNvGraphicFramePr>
              <a:graphicFrameLocks noChangeAspect="1"/>
            </wp:cNvGraphicFramePr>
            <a:graphic>
              <a:graphicData uri="http://schemas.openxmlformats.org/drawingml/2006/picture">
                <pic:pic>
                  <pic:nvPicPr>
                    <pic:cNvPr id="0" name="fig3_12_telemetry_simulation.png"/>
                    <pic:cNvPicPr/>
                  </pic:nvPicPr>
                  <pic:blipFill>
                    <a:blip r:embed="rId26"/>
                    <a:stretch>
                      <a:fillRect/>
                    </a:stretch>
                  </pic:blipFill>
                  <pic:spPr>
                    <a:xfrm>
                      <a:off x="0" y="0"/>
                      <a:ext cx="3840480" cy="4800600"/>
                    </a:xfrm>
                    <a:prstGeom prst="rect"/>
                  </pic:spPr>
                </pic:pic>
              </a:graphicData>
            </a:graphic>
          </wp:inline>
        </w:drawing>
      </w:r>
    </w:p>
    <w:p>
      <w:pPr>
        <w:keepNext/>
        <w:spacing w:before="20" w:after="120"/>
        <w:jc w:val="center"/>
      </w:pPr>
      <w:r>
        <w:rPr>
          <w:rFonts w:ascii="Times New Roman" w:hAnsi="Times New Roman"/>
          <w:i/>
          <w:sz w:val="21"/>
        </w:rPr>
        <w:t>Fig 3.12: API Latency Telemetry Simulation with Real-time Surge and AI Mitigation</w:t>
      </w:r>
    </w:p>
    <w:p>
      <w:pPr>
        <w:keepNext/>
        <w:spacing w:before="160" w:after="40"/>
        <w:jc w:val="left"/>
      </w:pPr>
      <w:r>
        <w:rPr>
          <w:rFonts w:ascii="Times New Roman" w:hAnsi="Times New Roman"/>
          <w:b/>
          <w:sz w:val="24"/>
        </w:rPr>
        <w:t>3.3.7 Phase 7: Predictive Maintenance, Metric Forecasting, and System Health</w:t>
      </w:r>
    </w:p>
    <w:p>
      <w:pPr>
        <w:spacing w:before="0" w:after="60" w:line="324" w:lineRule="auto"/>
        <w:jc w:val="both"/>
      </w:pPr>
      <w:r>
        <w:rPr>
          <w:rFonts w:ascii="Times New Roman" w:hAnsi="Times New Roman"/>
          <w:sz w:val="24"/>
        </w:rPr>
        <w:t>Phase 7 simulated 30 days of server telemetry, tracking daily active users, error rates, database connection pool loads, and average query latency. Linear regression forecasting was applied to estimate the number of operating days remaining before system metrics breach critical operating thresholds:</w:t>
      </w:r>
    </w:p>
    <w:p>
      <w:pPr>
        <w:keepNext/>
        <w:spacing w:before="120" w:after="40"/>
        <w:jc w:val="center"/>
      </w:pPr>
      <w:r>
        <w:rPr>
          <w:rFonts w:ascii="Times New Roman" w:hAnsi="Times New Roman"/>
          <w:b/>
          <w:sz w:val="21"/>
        </w:rPr>
        <w:t>Table 3.8: Server Performance Telemetry and Critical Threshold Predictions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2592"/>
            <w:tcMar>
              <w:top w:w="42" w:type="dxa"/>
              <w:bottom w:w="42" w:type="dxa"/>
              <w:left w:w="70" w:type="dxa"/>
              <w:right w:w="70" w:type="dxa"/>
            </w:tcMar>
            <w:shd w:fill="EBF1F5"/>
            <w:vAlign w:val="center"/>
          </w:tcPr>
          <w:p>
            <w:pPr>
              <w:spacing w:before="0" w:after="0"/>
              <w:jc w:val="center"/>
            </w:pPr>
            <w:r>
              <w:rPr>
                <w:rFonts w:ascii="Times New Roman" w:hAnsi="Times New Roman"/>
                <w:b/>
                <w:sz w:val="20"/>
              </w:rPr>
              <w:t>Monitored Metric</w:t>
            </w:r>
          </w:p>
        </w:tc>
        <w:tc>
          <w:tcPr>
            <w:tcW w:type="dxa" w:w="2160"/>
            <w:tcMar>
              <w:top w:w="42" w:type="dxa"/>
              <w:bottom w:w="42" w:type="dxa"/>
              <w:left w:w="70" w:type="dxa"/>
              <w:right w:w="70" w:type="dxa"/>
            </w:tcMar>
            <w:shd w:fill="EBF1F5"/>
            <w:vAlign w:val="center"/>
          </w:tcPr>
          <w:p>
            <w:pPr>
              <w:spacing w:before="0" w:after="0"/>
              <w:jc w:val="center"/>
            </w:pPr>
            <w:r>
              <w:rPr>
                <w:rFonts w:ascii="Times New Roman" w:hAnsi="Times New Roman"/>
                <w:b/>
                <w:sz w:val="20"/>
              </w:rPr>
              <w:t>Current 7-Day Average</w:t>
            </w:r>
          </w:p>
        </w:tc>
        <w:tc>
          <w:tcPr>
            <w:tcW w:type="dxa" w:w="2304"/>
            <w:tcMar>
              <w:top w:w="42" w:type="dxa"/>
              <w:bottom w:w="42" w:type="dxa"/>
              <w:left w:w="70" w:type="dxa"/>
              <w:right w:w="70" w:type="dxa"/>
            </w:tcMar>
            <w:shd w:fill="EBF1F5"/>
            <w:vAlign w:val="center"/>
          </w:tcPr>
          <w:p>
            <w:pPr>
              <w:spacing w:before="0" w:after="0"/>
              <w:jc w:val="center"/>
            </w:pPr>
            <w:r>
              <w:rPr>
                <w:rFonts w:ascii="Times New Roman" w:hAnsi="Times New Roman"/>
                <w:b/>
                <w:sz w:val="20"/>
              </w:rPr>
              <w:t>Critical System Threshold</w:t>
            </w:r>
          </w:p>
        </w:tc>
        <w:tc>
          <w:tcPr>
            <w:tcW w:type="dxa" w:w="1728"/>
            <w:tcMar>
              <w:top w:w="42" w:type="dxa"/>
              <w:bottom w:w="42" w:type="dxa"/>
              <w:left w:w="70" w:type="dxa"/>
              <w:right w:w="70" w:type="dxa"/>
            </w:tcMar>
            <w:shd w:fill="EBF1F5"/>
            <w:vAlign w:val="center"/>
          </w:tcPr>
          <w:p>
            <w:pPr>
              <w:spacing w:before="0" w:after="0"/>
              <w:jc w:val="center"/>
            </w:pPr>
            <w:r>
              <w:rPr>
                <w:rFonts w:ascii="Times New Roman" w:hAnsi="Times New Roman"/>
                <w:b/>
                <w:sz w:val="20"/>
              </w:rPr>
              <w:t>Projected Days to Limit</w:t>
            </w:r>
          </w:p>
        </w:tc>
        <w:tc>
          <w:tcPr>
            <w:tcW w:type="dxa" w:w="1440"/>
            <w:tcMar>
              <w:top w:w="42" w:type="dxa"/>
              <w:bottom w:w="42" w:type="dxa"/>
              <w:left w:w="70" w:type="dxa"/>
              <w:right w:w="70" w:type="dxa"/>
            </w:tcMar>
            <w:shd w:fill="EBF1F5"/>
            <w:vAlign w:val="center"/>
          </w:tcPr>
          <w:p>
            <w:pPr>
              <w:spacing w:before="0" w:after="0"/>
              <w:jc w:val="center"/>
            </w:pPr>
            <w:r>
              <w:rPr>
                <w:rFonts w:ascii="Times New Roman" w:hAnsi="Times New Roman"/>
                <w:b/>
                <w:sz w:val="20"/>
              </w:rPr>
              <w:t>Urgency Status</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Daily Active Users</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420 users / day</w:t>
            </w:r>
          </w:p>
        </w:tc>
        <w:tc>
          <w:tcPr>
            <w:tcW w:type="dxa" w:w="2304"/>
            <w:tcMar>
              <w:top w:w="30" w:type="dxa"/>
              <w:bottom w:w="30" w:type="dxa"/>
              <w:left w:w="70" w:type="dxa"/>
              <w:right w:w="70" w:type="dxa"/>
            </w:tcMar>
            <w:vAlign w:val="center"/>
          </w:tcPr>
          <w:p>
            <w:pPr>
              <w:spacing w:before="0" w:after="0" w:line="276" w:lineRule="auto"/>
              <w:jc w:val="left"/>
            </w:pPr>
            <w:r>
              <w:rPr>
                <w:rFonts w:ascii="Times New Roman" w:hAnsi="Times New Roman"/>
                <w:sz w:val="19"/>
              </w:rPr>
              <w:t>1,000 users / day</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48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Low</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System Error Rate</w:t>
            </w:r>
          </w:p>
        </w:tc>
        <w:tc>
          <w:tcPr>
            <w:tcW w:type="dxa" w:w="2160"/>
            <w:tcMar>
              <w:top w:w="30" w:type="dxa"/>
              <w:bottom w:w="30" w:type="dxa"/>
              <w:left w:w="70" w:type="dxa"/>
              <w:right w:w="70" w:type="dxa"/>
            </w:tcMar>
            <w:vAlign w:val="center"/>
          </w:tcPr>
          <w:p>
            <w:pPr>
              <w:spacing w:before="0" w:after="0" w:line="276" w:lineRule="auto"/>
              <w:jc w:val="center"/>
            </w:pPr>
            <w:r>
              <w:rPr>
                <w:rFonts w:ascii="Times New Roman" w:hAnsi="Times New Roman"/>
                <w:sz w:val="19"/>
              </w:rPr>
              <w:t>0.82 %</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5.00 %</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35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Medium</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DB Connection Pool Load</w:t>
            </w:r>
          </w:p>
        </w:tc>
        <w:tc>
          <w:tcPr>
            <w:tcW w:type="dxa" w:w="2160"/>
            <w:tcMar>
              <w:top w:w="30" w:type="dxa"/>
              <w:bottom w:w="30" w:type="dxa"/>
              <w:left w:w="70" w:type="dxa"/>
              <w:right w:w="70" w:type="dxa"/>
            </w:tcMar>
            <w:vAlign w:val="center"/>
          </w:tcPr>
          <w:p>
            <w:pPr>
              <w:spacing w:before="0" w:after="0" w:line="276" w:lineRule="auto"/>
              <w:jc w:val="left"/>
            </w:pPr>
            <w:r>
              <w:rPr>
                <w:rFonts w:ascii="Times New Roman" w:hAnsi="Times New Roman"/>
                <w:sz w:val="19"/>
              </w:rPr>
              <w:t>74.5 % capacity</w:t>
            </w:r>
          </w:p>
        </w:tc>
        <w:tc>
          <w:tcPr>
            <w:tcW w:type="dxa" w:w="2304"/>
            <w:tcMar>
              <w:top w:w="30" w:type="dxa"/>
              <w:bottom w:w="30" w:type="dxa"/>
              <w:left w:w="70" w:type="dxa"/>
              <w:right w:w="70" w:type="dxa"/>
            </w:tcMar>
            <w:vAlign w:val="center"/>
          </w:tcPr>
          <w:p>
            <w:pPr>
              <w:spacing w:before="0" w:after="0" w:line="276" w:lineRule="auto"/>
              <w:jc w:val="left"/>
            </w:pPr>
            <w:r>
              <w:rPr>
                <w:rFonts w:ascii="Times New Roman" w:hAnsi="Times New Roman"/>
                <w:sz w:val="19"/>
              </w:rPr>
              <w:t>95.0 % capacity</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14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CRITICAL</w:t>
            </w:r>
          </w:p>
        </w:tc>
      </w:tr>
      <w:tr>
        <w:tc>
          <w:tcPr>
            <w:tcW w:type="dxa" w:w="2592"/>
            <w:tcMar>
              <w:top w:w="30" w:type="dxa"/>
              <w:bottom w:w="30" w:type="dxa"/>
              <w:left w:w="70" w:type="dxa"/>
              <w:right w:w="70" w:type="dxa"/>
            </w:tcMar>
            <w:vAlign w:val="center"/>
          </w:tcPr>
          <w:p>
            <w:pPr>
              <w:spacing w:before="0" w:after="0" w:line="276" w:lineRule="auto"/>
              <w:jc w:val="center"/>
            </w:pPr>
            <w:r>
              <w:rPr>
                <w:rFonts w:ascii="Times New Roman" w:hAnsi="Times New Roman"/>
                <w:sz w:val="19"/>
              </w:rPr>
              <w:t>Average API Response Time</w:t>
            </w:r>
          </w:p>
        </w:tc>
        <w:tc>
          <w:tcPr>
            <w:tcW w:type="dxa" w:w="2160"/>
            <w:tcMar>
              <w:top w:w="30" w:type="dxa"/>
              <w:bottom w:w="30" w:type="dxa"/>
              <w:left w:w="70" w:type="dxa"/>
              <w:right w:w="70" w:type="dxa"/>
            </w:tcMar>
            <w:vAlign w:val="center"/>
          </w:tcPr>
          <w:p>
            <w:pPr>
              <w:spacing w:before="0" w:after="0" w:line="276" w:lineRule="auto"/>
              <w:jc w:val="center"/>
            </w:pPr>
            <w:r>
              <w:rPr>
                <w:rFonts w:ascii="Times New Roman" w:hAnsi="Times New Roman"/>
                <w:sz w:val="19"/>
              </w:rPr>
              <w:t>185 ms</w:t>
            </w:r>
          </w:p>
        </w:tc>
        <w:tc>
          <w:tcPr>
            <w:tcW w:type="dxa" w:w="2304"/>
            <w:tcMar>
              <w:top w:w="30" w:type="dxa"/>
              <w:bottom w:w="30" w:type="dxa"/>
              <w:left w:w="70" w:type="dxa"/>
              <w:right w:w="70" w:type="dxa"/>
            </w:tcMar>
            <w:vAlign w:val="center"/>
          </w:tcPr>
          <w:p>
            <w:pPr>
              <w:spacing w:before="0" w:after="0" w:line="276" w:lineRule="auto"/>
              <w:jc w:val="center"/>
            </w:pPr>
            <w:r>
              <w:rPr>
                <w:rFonts w:ascii="Times New Roman" w:hAnsi="Times New Roman"/>
                <w:sz w:val="19"/>
              </w:rPr>
              <w:t>1,000 ms</w:t>
            </w:r>
          </w:p>
        </w:tc>
        <w:tc>
          <w:tcPr>
            <w:tcW w:type="dxa" w:w="1728"/>
            <w:tcMar>
              <w:top w:w="30" w:type="dxa"/>
              <w:bottom w:w="30" w:type="dxa"/>
              <w:left w:w="70" w:type="dxa"/>
              <w:right w:w="70" w:type="dxa"/>
            </w:tcMar>
            <w:vAlign w:val="center"/>
          </w:tcPr>
          <w:p>
            <w:pPr>
              <w:spacing w:before="0" w:after="0" w:line="276" w:lineRule="auto"/>
              <w:jc w:val="center"/>
            </w:pPr>
            <w:r>
              <w:rPr>
                <w:rFonts w:ascii="Times New Roman" w:hAnsi="Times New Roman"/>
                <w:sz w:val="19"/>
              </w:rPr>
              <w:t>28 days</w:t>
            </w:r>
          </w:p>
        </w:tc>
        <w:tc>
          <w:tcPr>
            <w:tcW w:type="dxa" w:w="1440"/>
            <w:tcMar>
              <w:top w:w="30" w:type="dxa"/>
              <w:bottom w:w="30" w:type="dxa"/>
              <w:left w:w="70" w:type="dxa"/>
              <w:right w:w="70" w:type="dxa"/>
            </w:tcMar>
            <w:vAlign w:val="center"/>
          </w:tcPr>
          <w:p>
            <w:pPr>
              <w:spacing w:before="0" w:after="0" w:line="276" w:lineRule="auto"/>
              <w:jc w:val="center"/>
            </w:pPr>
            <w:r>
              <w:rPr>
                <w:rFonts w:ascii="Times New Roman" w:hAnsi="Times New Roman"/>
                <w:sz w:val="19"/>
              </w:rPr>
              <w:t>High</w:t>
            </w:r>
          </w:p>
        </w:tc>
      </w:tr>
    </w:tbl>
    <w:p>
      <w:pPr>
        <w:spacing w:after="20"/>
      </w:pPr>
    </w:p>
    <w:p>
      <w:pPr>
        <w:keepNext/>
        <w:spacing w:before="80" w:after="20"/>
        <w:jc w:val="center"/>
      </w:pPr>
      <w:r>
        <w:drawing>
          <wp:inline xmlns:a="http://schemas.openxmlformats.org/drawingml/2006/main" xmlns:pic="http://schemas.openxmlformats.org/drawingml/2006/picture">
            <wp:extent cx="4023360" cy="3506070"/>
            <wp:docPr id="19" name="Picture 19"/>
            <wp:cNvGraphicFramePr>
              <a:graphicFrameLocks noChangeAspect="1"/>
            </wp:cNvGraphicFramePr>
            <a:graphic>
              <a:graphicData uri="http://schemas.openxmlformats.org/drawingml/2006/picture">
                <pic:pic>
                  <pic:nvPicPr>
                    <pic:cNvPr id="0" name="fig3_13_predictive_maintenance.png"/>
                    <pic:cNvPicPr/>
                  </pic:nvPicPr>
                  <pic:blipFill>
                    <a:blip r:embed="rId27"/>
                    <a:stretch>
                      <a:fillRect/>
                    </a:stretch>
                  </pic:blipFill>
                  <pic:spPr>
                    <a:xfrm>
                      <a:off x="0" y="0"/>
                      <a:ext cx="4023360" cy="3506070"/>
                    </a:xfrm>
                    <a:prstGeom prst="rect"/>
                  </pic:spPr>
                </pic:pic>
              </a:graphicData>
            </a:graphic>
          </wp:inline>
        </w:drawing>
      </w:r>
    </w:p>
    <w:p>
      <w:pPr>
        <w:keepNext/>
        <w:spacing w:before="20" w:after="120"/>
        <w:jc w:val="center"/>
      </w:pPr>
      <w:r>
        <w:rPr>
          <w:rFonts w:ascii="Times New Roman" w:hAnsi="Times New Roman"/>
          <w:i/>
          <w:sz w:val="21"/>
        </w:rPr>
        <w:t>Fig 3.13: Predictive Maintenance Telemetry Forecast and Resource Saturation Curves</w:t>
      </w:r>
    </w:p>
    <w:p>
      <w:pPr>
        <w:spacing w:before="0" w:after="60" w:line="324" w:lineRule="auto"/>
        <w:jc w:val="both"/>
      </w:pPr>
      <w:r>
        <w:rPr>
          <w:rFonts w:ascii="Times New Roman" w:hAnsi="Times New Roman"/>
          <w:sz w:val="24"/>
        </w:rPr>
        <w:t>Five prioritized maintenance recommendations were produced based on the telemetry forecast:</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1: </w:t>
      </w:r>
      <w:r>
        <w:rPr>
          <w:rFonts w:ascii="Times New Roman" w:hAnsi="Times New Roman"/>
          <w:sz w:val="24"/>
        </w:rPr>
        <w:t>1. Increase SQLite/Database Connection Pool Capacity: Urgency Critical (Within 7 Days). Database connection pool load is projected to reach saturation within 14 days, creating the primary bottleneck.</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2: </w:t>
      </w:r>
      <w:r>
        <w:rPr>
          <w:rFonts w:ascii="Times New Roman" w:hAnsi="Times New Roman"/>
          <w:sz w:val="24"/>
        </w:rPr>
        <w:t>2. Implement Read-Through Query Caching: Urgency High (Within 14 Days). Cache popular catalog search results using Redis to reduce direct database hits.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3: </w:t>
      </w:r>
      <w:r>
        <w:rPr>
          <w:rFonts w:ascii="Times New Roman" w:hAnsi="Times New Roman"/>
          <w:sz w:val="24"/>
        </w:rPr>
        <w:t>3. Establish Database Indexing on Frequent Query Keys: Urgency Medium (Within 21 Days). Add composite indexes on (title, author) in Books and (student_id, status) in Borrows to maintain fast lookup times as the catalog grows.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4: </w:t>
      </w:r>
      <w:r>
        <w:rPr>
          <w:rFonts w:ascii="Times New Roman" w:hAnsi="Times New Roman"/>
          <w:sz w:val="24"/>
        </w:rPr>
        <w:t>4. Configure Automated Log Rotation and Pruning: Urgency Low (Within 30 Days). Archive historical access logs older than 90 days to conserve server disk space.</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Recommendation 5: </w:t>
      </w:r>
      <w:r>
        <w:rPr>
          <w:rFonts w:ascii="Times New Roman" w:hAnsi="Times New Roman"/>
          <w:sz w:val="24"/>
        </w:rPr>
        <w:t>5. Deploy Scheduled Database Vacuuming: Urgency Low (Within 30 Days). Run regular maintenance to reclaim fragmented pages after batch book deletions.</w:t>
      </w:r>
    </w:p>
    <w:p>
      <w:r>
        <w:br w:type="page"/>
      </w:r>
    </w:p>
    <w:p>
      <w:pPr>
        <w:keepNext/>
        <w:spacing w:before="240" w:after="120"/>
        <w:jc w:val="center"/>
      </w:pPr>
      <w:r>
        <w:rPr>
          <w:rFonts w:ascii="Times New Roman" w:hAnsi="Times New Roman"/>
          <w:b/>
          <w:sz w:val="32"/>
        </w:rPr>
        <w:t>4 CONCLUSION AND FUTURE SCOPE</w:t>
      </w:r>
    </w:p>
    <w:p>
      <w:pPr>
        <w:keepNext/>
        <w:spacing w:before="200" w:after="60"/>
        <w:jc w:val="left"/>
      </w:pPr>
      <w:r>
        <w:rPr>
          <w:rFonts w:ascii="Times New Roman" w:hAnsi="Times New Roman"/>
          <w:b/>
          <w:sz w:val="28"/>
        </w:rPr>
        <w:t>4.1 Summary of Learnings and Technical Outcomes</w:t>
      </w:r>
    </w:p>
    <w:p>
      <w:pPr>
        <w:spacing w:before="0" w:after="60" w:line="324" w:lineRule="auto"/>
        <w:jc w:val="both"/>
      </w:pPr>
      <w:r>
        <w:rPr>
          <w:rFonts w:ascii="Times New Roman" w:hAnsi="Times New Roman"/>
          <w:sz w:val="24"/>
        </w:rPr>
        <w:t>The summer internship in Advanced Generative AI provided thorough exposure to modern generative architectures and their practical application across data science and software engineering workflows. Through technical coursework, cloud lab sessions, and two comprehensive mini projects, I gained practical experience across key areas: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Foundation Model Fluency: Hands-on experience working with BERT, GPT-2, IBM Granite 3.1, Stable Diffusion, and Whisper across tasks including sentiment analysis, masked language modeling, text generation, image synthesis, and speech-to-text translation.</w:t>
      </w:r>
    </w:p>
    <w:p>
      <w:pPr>
        <w:spacing w:before="0" w:after="50" w:line="312" w:lineRule="auto"/>
        <w:ind w:left="288"/>
        <w:jc w:val="both"/>
      </w:pPr>
      <w:r>
        <w:rPr>
          <w:rFonts w:ascii="Times New Roman" w:hAnsi="Times New Roman"/>
          <w:sz w:val="24"/>
        </w:rPr>
        <w:t xml:space="preserve">•  </w:t>
      </w:r>
      <w:r>
        <w:rPr>
          <w:rFonts w:ascii="Times New Roman" w:hAnsi="Times New Roman"/>
          <w:sz w:val="24"/>
        </w:rPr>
        <w:t>Prompt Engineering Proficiency: Designing structured Zero-shot, Few-shot, Chain-of-Thought, and Tree-of-Thought prompts that guide large language models to produce reliable code and structured tables without unconstrained hallucinations.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Data Science Pipeline Engineering: Building a complete clinical prediction pipeline (Mini Project 1) combining ETL processing, SQLite 3NF database normalization, exploratory data analysis, hypothesis testing, multi-model evaluation, SHAP explainability, and GridSearchCV hyperparameter tuning.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Software Development Lifecycle Acceleration: Applying Generative AI across all seven phases of application engineering (Mini Project 2), from user feedback analysis and Visily wireframing to Eraser.io architecture design, Colab development, automated testing, telemetry monitoring, and predictive maintenance.</w:t>
      </w:r>
    </w:p>
    <w:p>
      <w:pPr>
        <w:spacing w:before="0" w:after="50" w:line="312" w:lineRule="auto"/>
        <w:ind w:left="288"/>
        <w:jc w:val="both"/>
      </w:pPr>
      <w:r>
        <w:rPr>
          <w:rFonts w:ascii="Times New Roman" w:hAnsi="Times New Roman"/>
          <w:sz w:val="24"/>
        </w:rPr>
        <w:t xml:space="preserve">•  </w:t>
      </w:r>
      <w:r>
        <w:rPr>
          <w:rFonts w:ascii="Times New Roman" w:hAnsi="Times New Roman"/>
          <w:sz w:val="24"/>
        </w:rPr>
        <w:t>Responsible AI Awareness: Understanding IBM's 5 Pillars of Trust (Explainability, Fairness, Robustness, Transparency, Privacy) and how to build explainable models for regulated sectors like healthcare.</w:t>
      </w:r>
    </w:p>
    <w:p>
      <w:pPr>
        <w:keepNext/>
        <w:spacing w:before="200" w:after="60"/>
        <w:jc w:val="left"/>
      </w:pPr>
      <w:r>
        <w:rPr>
          <w:rFonts w:ascii="Times New Roman" w:hAnsi="Times New Roman"/>
          <w:b/>
          <w:sz w:val="28"/>
        </w:rPr>
        <w:t>4.2 Practical Challenges Encountered and Solutions</w:t>
      </w:r>
    </w:p>
    <w:p>
      <w:pPr>
        <w:spacing w:before="0" w:after="60" w:line="324" w:lineRule="auto"/>
        <w:jc w:val="both"/>
      </w:pPr>
      <w:r>
        <w:rPr>
          <w:rFonts w:ascii="Times New Roman" w:hAnsi="Times New Roman"/>
          <w:sz w:val="24"/>
        </w:rPr>
        <w:t>During project implementation, several practical challenges arose that required structured engineering solutions: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Overfitting Mitigation: </w:t>
      </w:r>
      <w:r>
        <w:rPr>
          <w:rFonts w:ascii="Times New Roman" w:hAnsi="Times New Roman"/>
          <w:sz w:val="24"/>
        </w:rPr>
        <w:t>Challenge 1: Model Overfitting in Clinical Classification. The baseline Random Forest classifier achieved a perfect 1.0000 accuracy on the training set but dropped to 0.8689 on the test set. Solution: Diagnosed the issue using 5-fold cross-validation and applied GridSearchCV over tree depth and minimum sample splits. This reduced the overfitting gap from 0.1311 to 0.0528 while increasing test accuracy to 0.8852.</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Relational Normalization: </w:t>
      </w:r>
      <w:r>
        <w:rPr>
          <w:rFonts w:ascii="Times New Roman" w:hAnsi="Times New Roman"/>
          <w:sz w:val="24"/>
        </w:rPr>
        <w:t>Challenge 2: Inconsistent Schema Suggestions from Raw GenAI Outputs. When prompting language models for database design, early prompts suggested flat tables that introduced data duplication between books, checkouts, and student profiles. Solution: Refined prompts using 3NF relational modeling constraints, splitting the schema into five distinct tables (Students, Books, Borrows, Reservations, Fines) with foreign keys and CHECK constraints.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Performance Recovery: </w:t>
      </w:r>
      <w:r>
        <w:rPr>
          <w:rFonts w:ascii="Times New Roman" w:hAnsi="Times New Roman"/>
          <w:sz w:val="24"/>
        </w:rPr>
        <w:t>Challenge 3: Telemetry Spikes and Latency Breaches. During Phase 6 deployment simulations, injected traffic spikes caused API latencies to exceed 1400 ms. Solution: Implemented automated alert thresholds that triggered simulated horizontal container scaling and temporary rate limiting, restoring baseline latencies below 200 ms.</w:t>
      </w:r>
    </w:p>
    <w:p>
      <w:pPr>
        <w:keepNext/>
        <w:spacing w:before="200" w:after="60"/>
        <w:jc w:val="left"/>
      </w:pPr>
      <w:r>
        <w:rPr>
          <w:rFonts w:ascii="Times New Roman" w:hAnsi="Times New Roman"/>
          <w:b/>
          <w:sz w:val="28"/>
        </w:rPr>
        <w:t>4.3 Significance to Undergraduate Curriculum and Career</w:t>
      </w:r>
    </w:p>
    <w:p>
      <w:pPr>
        <w:spacing w:before="0" w:after="60" w:line="324" w:lineRule="auto"/>
        <w:jc w:val="both"/>
      </w:pPr>
      <w:r>
        <w:rPr>
          <w:rFonts w:ascii="Times New Roman" w:hAnsi="Times New Roman"/>
          <w:sz w:val="24"/>
        </w:rPr>
        <w:t>This internship aligns directly with my B. Tech. Computer Science and Engineering curriculum, specializing in Data Science at Vellore Institute of Technology, Chennai. The practical experience gained with enterprise tools like IBM Granite, Hugging Face transformers, SHAP, SQLite, Visily, and Eraser.io complements academic coursework in database systems, machine learning, and software engineering. It demonstrated how AI tools can be used responsibly to accelerate development while relying on rigorous validation to ensure software reliability.</w:t>
      </w:r>
    </w:p>
    <w:p>
      <w:pPr>
        <w:keepNext/>
        <w:spacing w:before="200" w:after="60"/>
        <w:jc w:val="left"/>
      </w:pPr>
      <w:r>
        <w:rPr>
          <w:rFonts w:ascii="Times New Roman" w:hAnsi="Times New Roman"/>
          <w:b/>
          <w:sz w:val="28"/>
        </w:rPr>
        <w:t>4.4 Future Enhancements</w:t>
      </w:r>
    </w:p>
    <w:p>
      <w:pPr>
        <w:spacing w:before="0" w:after="60" w:line="324" w:lineRule="auto"/>
        <w:jc w:val="both"/>
      </w:pPr>
      <w:r>
        <w:rPr>
          <w:rFonts w:ascii="Times New Roman" w:hAnsi="Times New Roman"/>
          <w:sz w:val="24"/>
        </w:rPr>
        <w:t>The projects developed during this internship provide a solid base for future technical improvements: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Semantic Search with RAG: </w:t>
      </w:r>
      <w:r>
        <w:rPr>
          <w:rFonts w:ascii="Times New Roman" w:hAnsi="Times New Roman"/>
          <w:sz w:val="24"/>
        </w:rPr>
        <w:t>Retrieval-Augmented Generation (RAG): Extending the library management system with a RAG pipeline that embeds book abstracts and contents into a vector database (such as ChromaDB or Milvus). This would allow students to search the catalog using semantic natural language questions (e.g., 'Find introductory textbooks on transformer attention mechanisms with Python examples').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Containerized Architecture: </w:t>
      </w:r>
      <w:r>
        <w:rPr>
          <w:rFonts w:ascii="Times New Roman" w:hAnsi="Times New Roman"/>
          <w:sz w:val="24"/>
        </w:rPr>
        <w:t>Cloud Microservice Deployment: Packaging the Flask and SQLite application into Docker containers and deploying them to Kubernetes clusters with auto-scaling policies to handle real exam-period traffic surges.</w:t>
      </w:r>
    </w:p>
    <w:p>
      <w:pPr>
        <w:spacing w:before="0" w:after="50" w:line="312" w:lineRule="auto"/>
        <w:ind w:left="288"/>
        <w:jc w:val="both"/>
      </w:pPr>
      <w:r>
        <w:rPr>
          <w:rFonts w:ascii="Times New Roman" w:hAnsi="Times New Roman"/>
          <w:sz w:val="24"/>
        </w:rPr>
        <w:t xml:space="preserve">•  </w:t>
      </w:r>
      <w:r>
        <w:rPr>
          <w:rFonts w:ascii="Times New Roman" w:hAnsi="Times New Roman"/>
          <w:b/>
          <w:sz w:val="24"/>
        </w:rPr>
        <w:t xml:space="preserve">Multimodal Clinical Diagnostics: </w:t>
      </w:r>
      <w:r>
        <w:rPr>
          <w:rFonts w:ascii="Times New Roman" w:hAnsi="Times New Roman"/>
          <w:sz w:val="24"/>
        </w:rPr>
        <w:t>Multimodal Diagnostic Integration: Expanding the heart disease pipeline to process raw ECG waveforms and echocardiogram imaging alongside tabular records using multimodal vision-language architectures.</w:t>
      </w:r>
    </w:p>
    <w:p>
      <w:r>
        <w:br w:type="page"/>
      </w:r>
    </w:p>
    <w:p>
      <w:pPr>
        <w:keepNext/>
        <w:spacing w:before="240" w:after="120"/>
        <w:jc w:val="center"/>
      </w:pPr>
      <w:r>
        <w:rPr>
          <w:rFonts w:ascii="Times New Roman" w:hAnsi="Times New Roman"/>
          <w:b/>
          <w:sz w:val="32"/>
        </w:rPr>
        <w:t>REFERENCES</w:t>
      </w:r>
    </w:p>
    <w:p>
      <w:pPr>
        <w:spacing w:before="40" w:after="160" w:line="324" w:lineRule="auto"/>
        <w:jc w:val="both"/>
      </w:pPr>
      <w:r>
        <w:rPr>
          <w:rFonts w:ascii="Times New Roman" w:hAnsi="Times New Roman"/>
          <w:i/>
          <w:sz w:val="24"/>
        </w:rPr>
        <w:t xml:space="preserve">Note: </w:t>
      </w:r>
      <w:r>
        <w:rPr>
          <w:rFonts w:ascii="Times New Roman" w:hAnsi="Times New Roman"/>
          <w:sz w:val="24"/>
        </w:rPr>
        <w:t>Listed in alphabetical order by first author surname, with all citations referenced in the text as per university formatting guidelines:</w:t>
      </w:r>
    </w:p>
    <w:p>
      <w:pPr>
        <w:spacing w:before="20" w:after="50" w:line="276" w:lineRule="auto"/>
        <w:ind w:left="432" w:hanging="432"/>
        <w:jc w:val="both"/>
      </w:pPr>
      <w:r>
        <w:rPr>
          <w:rFonts w:ascii="Times New Roman" w:hAnsi="Times New Roman"/>
          <w:sz w:val="21"/>
        </w:rPr>
        <w:t>[1] D. Bahdanau, K. Cho, and Y. Bengio, "Neural Machine Translation by Jointly Learning to Align and Translate", in Proceedings of the International Conference on Learning Representations (ICLR), San Diego, CA, May 2015, pp. 1-15.</w:t>
      </w:r>
    </w:p>
    <w:p>
      <w:pPr>
        <w:spacing w:before="20" w:after="50" w:line="276" w:lineRule="auto"/>
        <w:ind w:left="432" w:hanging="432"/>
        <w:jc w:val="both"/>
      </w:pPr>
      <w:r>
        <w:rPr>
          <w:rFonts w:ascii="Times New Roman" w:hAnsi="Times New Roman"/>
          <w:sz w:val="21"/>
        </w:rPr>
        <w:t>[2] I. Goodfellow, J. Pouget-Abadie, M. Mirza, B. Xu, D. Warde-Farley, S. Ozair, A. Courville, and Y. Bengio, "Generative Adversarial Nets", in Advances in Neural Information Processing Systems (NeurIPS), vol. 27, Montreal, Canada, Dec. 2014, pp. 2672-2680.</w:t>
      </w:r>
    </w:p>
    <w:p>
      <w:pPr>
        <w:spacing w:before="20" w:after="50" w:line="276" w:lineRule="auto"/>
        <w:ind w:left="432" w:hanging="432"/>
        <w:jc w:val="both"/>
      </w:pPr>
      <w:r>
        <w:rPr>
          <w:rFonts w:ascii="Times New Roman" w:hAnsi="Times New Roman"/>
          <w:sz w:val="21"/>
        </w:rPr>
        <w:t>[3] D. P. Kingma and M. Welling, "Auto-Encoding Variational Bayes", in Proceedings of the 2nd International Conference on Learning Representations (ICLR), Banff, Canada, Apr. 2014, pp. 1-14.</w:t>
      </w:r>
    </w:p>
    <w:p>
      <w:pPr>
        <w:spacing w:before="20" w:after="50" w:line="276" w:lineRule="auto"/>
        <w:ind w:left="432" w:hanging="432"/>
        <w:jc w:val="both"/>
      </w:pPr>
      <w:r>
        <w:rPr>
          <w:rFonts w:ascii="Times New Roman" w:hAnsi="Times New Roman"/>
          <w:sz w:val="21"/>
        </w:rPr>
        <w:t>[4] S. M. Lundberg and S.-I. Lee, "A Unified Approach to Interpreting Model Predictions", in Advances in Neural Information Processing Systems (NeurIPS), vol. 30, Long Beach, CA, Dec. 2017, pp. 4765-4774.</w:t>
      </w:r>
    </w:p>
    <w:p>
      <w:pPr>
        <w:spacing w:before="20" w:after="50" w:line="276" w:lineRule="auto"/>
        <w:ind w:left="432" w:hanging="432"/>
        <w:jc w:val="both"/>
      </w:pPr>
      <w:r>
        <w:rPr>
          <w:rFonts w:ascii="Times New Roman" w:hAnsi="Times New Roman"/>
          <w:sz w:val="21"/>
        </w:rPr>
        <w:t>[5] A. Radford, J. Wu, R. Child, D. Luan, D. Amodei, and I. Sutskever, "Language Models are Unsupervised Multitask Learners", OpenAI Technical Report, vol. 1, no. 8, pp. 1-24, Feb. 2019.</w:t>
      </w:r>
    </w:p>
    <w:p>
      <w:pPr>
        <w:spacing w:before="20" w:after="50" w:line="276" w:lineRule="auto"/>
        <w:ind w:left="432" w:hanging="432"/>
        <w:jc w:val="both"/>
      </w:pPr>
      <w:r>
        <w:rPr>
          <w:rFonts w:ascii="Times New Roman" w:hAnsi="Times New Roman"/>
          <w:sz w:val="21"/>
        </w:rPr>
        <w:t>[6] A. Radford, J. W. Kim, T. Xu, G. Brockman, C. McLeavey, and I. Sutskever, "Robust Speech Recognition via Large-Scale Weak Supervision", in Proceedings of the 40th International Conference on Machine Learning (ICML), Honolulu, HI, Jul. 2023, pp. 28492-28518.</w:t>
      </w:r>
    </w:p>
    <w:p>
      <w:pPr>
        <w:spacing w:before="20" w:after="50" w:line="276" w:lineRule="auto"/>
        <w:ind w:left="432" w:hanging="432"/>
        <w:jc w:val="both"/>
      </w:pPr>
      <w:r>
        <w:rPr>
          <w:rFonts w:ascii="Times New Roman" w:hAnsi="Times New Roman"/>
          <w:sz w:val="21"/>
        </w:rPr>
        <w:t>[7] R. Rombach, A. Blattmann, D. Lorenz, P. Esser, and B. Ommer, "High-Resolution Image Synthesis with Latent Diffusion Models", in Proceedings of the IEEE/CVF Conference on Computer Vision and Pattern Recognition (CVPR), New Orleans, LA, Jun. 2022, pp. 10684-10695.</w:t>
      </w:r>
    </w:p>
    <w:p>
      <w:pPr>
        <w:spacing w:before="20" w:after="50" w:line="276" w:lineRule="auto"/>
        <w:ind w:left="432" w:hanging="432"/>
        <w:jc w:val="both"/>
      </w:pPr>
      <w:r>
        <w:rPr>
          <w:rFonts w:ascii="Times New Roman" w:hAnsi="Times New Roman"/>
          <w:sz w:val="21"/>
        </w:rPr>
        <w:t>[8] A. Vaswani, N. Shazeer, N. Parmar, J. Uszkoreit, L. Jones, A. N. Gomez, L. Kaiser, and I. Polosukhin, "Attention Is All You Need", in Advances in Neural Information Processing Systems (NeurIPS), vol. 30, Long Beach, CA, Dec. 2017, pp. 5998-6008.</w:t>
      </w:r>
    </w:p>
    <w:p>
      <w:pPr>
        <w:spacing w:before="20" w:after="50" w:line="276" w:lineRule="auto"/>
        <w:ind w:left="432" w:hanging="432"/>
        <w:jc w:val="both"/>
      </w:pPr>
      <w:r>
        <w:rPr>
          <w:rFonts w:ascii="Times New Roman" w:hAnsi="Times New Roman"/>
          <w:sz w:val="21"/>
        </w:rPr>
        <w:t>[9] J. Wei, X. Wang, D. Schuurmans, M. Bosma, B. Ichter, F. Xia, E. Chi, Q. Le, and D. Zhou, "Chain-of-Thought Prompting Elicits Reasoning in Large Language Models", in Advances in Neural Information Processing Systems (NeurIPS), vol. 35, New Orleans, LA, Dec. 2022, pp. 24824-24837.</w:t>
      </w:r>
    </w:p>
    <w:p>
      <w:pPr>
        <w:spacing w:before="20" w:after="50" w:line="276" w:lineRule="auto"/>
        <w:ind w:left="432" w:hanging="432"/>
        <w:jc w:val="both"/>
      </w:pPr>
      <w:r>
        <w:rPr>
          <w:rFonts w:ascii="Times New Roman" w:hAnsi="Times New Roman"/>
          <w:sz w:val="21"/>
        </w:rPr>
        <w:t>[10] L. Xiao, C. Xie, M. Min, and W. Zhuang, "User-Centric View of Unmanned Aerial Vehicle Transmission Against Smart Attacks", IEEE Transactions on Vehicular Technology, vol. 67, no. 4, pp. 3420-3430, Apr. 2018.</w:t>
      </w:r>
    </w:p>
    <w:p>
      <w:r>
        <w:br w:type="page"/>
      </w:r>
    </w:p>
    <w:p>
      <w:pPr>
        <w:keepNext/>
        <w:spacing w:before="240" w:after="120"/>
        <w:jc w:val="center"/>
      </w:pPr>
      <w:r>
        <w:rPr>
          <w:rFonts w:ascii="Times New Roman" w:hAnsi="Times New Roman"/>
          <w:b/>
          <w:sz w:val="32"/>
        </w:rPr>
        <w:t>APPENDIX I</w:t>
      </w:r>
    </w:p>
    <w:p>
      <w:pPr>
        <w:keepNext/>
        <w:spacing w:before="200" w:after="60"/>
        <w:jc w:val="left"/>
      </w:pPr>
      <w:r>
        <w:rPr>
          <w:rFonts w:ascii="Times New Roman" w:hAnsi="Times New Roman"/>
          <w:b/>
          <w:sz w:val="28"/>
        </w:rPr>
        <w:t>APPENDIX I-A: Course Certificates and Credential Details</w:t>
      </w:r>
    </w:p>
    <w:p>
      <w:pPr>
        <w:spacing w:before="0" w:after="60" w:line="324" w:lineRule="auto"/>
        <w:jc w:val="both"/>
      </w:pPr>
      <w:r>
        <w:rPr>
          <w:rFonts w:ascii="Times New Roman" w:hAnsi="Times New Roman"/>
          <w:sz w:val="24"/>
        </w:rPr>
        <w:t>The student successfully completed all examination modules, weekly assignments, and mini projects for the IBM Advanced Generative AI course. Official credentials and validation metadata are summarized below:</w:t>
      </w:r>
    </w:p>
    <w:p>
      <w:pPr>
        <w:spacing w:before="0" w:after="50" w:line="312" w:lineRule="auto"/>
        <w:ind w:left="288"/>
        <w:jc w:val="both"/>
      </w:pPr>
      <w:r>
        <w:rPr>
          <w:rFonts w:ascii="Times New Roman" w:hAnsi="Times New Roman"/>
          <w:sz w:val="24"/>
        </w:rPr>
        <w:t xml:space="preserve">•  </w:t>
      </w:r>
      <w:r>
        <w:rPr>
          <w:rFonts w:ascii="Times New Roman" w:hAnsi="Times New Roman"/>
          <w:sz w:val="24"/>
        </w:rPr>
        <w:t>Credential Name: Advanced Generative AI (Course Code: CEGENAI1IN), issued by IBM Career Education Program. Verified by Jagadisha Bhat, Country Manager - IBM Technology Expert Labs, ISA, IBM India Pvt Ltd. Validation URL: https://courses.ibmcep.cognitiveclass.ai/certificates/d3a570e88dc6474ba1f97f5321c5d887</w:t>
      </w:r>
    </w:p>
    <w:p>
      <w:pPr>
        <w:spacing w:before="0" w:after="50" w:line="312" w:lineRule="auto"/>
        <w:ind w:left="288"/>
        <w:jc w:val="both"/>
      </w:pPr>
      <w:r>
        <w:rPr>
          <w:rFonts w:ascii="Times New Roman" w:hAnsi="Times New Roman"/>
          <w:sz w:val="24"/>
        </w:rPr>
        <w:t xml:space="preserve">•  </w:t>
      </w:r>
      <w:r>
        <w:rPr>
          <w:rFonts w:ascii="Times New Roman" w:hAnsi="Times New Roman"/>
          <w:sz w:val="24"/>
        </w:rPr>
        <w:t>AdroIT Prolearn Certificate: IBM - Advanced Generative AI, completed on July 21, 2026. Certificate Verification ID: khfIPYurf6. Issued in association with Vellore Institute of Technology, Chennai.</w:t>
      </w:r>
    </w:p>
    <w:p>
      <w:pPr>
        <w:keepNext/>
        <w:spacing w:before="200" w:after="60"/>
        <w:jc w:val="left"/>
      </w:pPr>
      <w:r>
        <w:rPr>
          <w:rFonts w:ascii="Times New Roman" w:hAnsi="Times New Roman"/>
          <w:b/>
          <w:sz w:val="28"/>
        </w:rPr>
        <w:t>APPENDIX I-B: Google Colab Notebook Links and Execution Proofs</w:t>
      </w:r>
    </w:p>
    <w:p>
      <w:pPr>
        <w:spacing w:before="0" w:after="60" w:line="324" w:lineRule="auto"/>
        <w:jc w:val="both"/>
      </w:pPr>
      <w:r>
        <w:rPr>
          <w:rFonts w:ascii="Times New Roman" w:hAnsi="Times New Roman"/>
          <w:sz w:val="24"/>
        </w:rPr>
        <w:t>All technical implementations, model training pipelines, and simulation codes were developed and executed in cloud-hosted Google Colab notebooks with Python 3.11 runtimes:</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1 Colab Notebook: Heart Disease Prediction Pipeline with ETL, 3NF SQLite database, EDA plots, Logistic Regression, Random Forest, Gradient Boosting, Stacking, SHAP analysis, and GridSearchCV hyperparameter tuning. Public Shareable Link: https://colab.research.google.com/drive/1MsfPD8QIZGPrzEL6q6jWi4zqcoR1YN_9?usp=sharing</w:t>
      </w:r>
    </w:p>
    <w:p>
      <w:pPr>
        <w:spacing w:before="0" w:after="50" w:line="312" w:lineRule="auto"/>
        <w:ind w:left="288"/>
        <w:jc w:val="both"/>
      </w:pPr>
      <w:r>
        <w:rPr>
          <w:rFonts w:ascii="Times New Roman" w:hAnsi="Times New Roman"/>
          <w:sz w:val="24"/>
        </w:rPr>
        <w:t xml:space="preserve">•  </w:t>
      </w:r>
      <w:r>
        <w:rPr>
          <w:rFonts w:ascii="Times New Roman" w:hAnsi="Times New Roman"/>
          <w:sz w:val="24"/>
        </w:rPr>
        <w:t>Mini Project 2 Colab Notebook: College Library Management System with SQLite database creation, business logic, interactive HTML frontend, 10-point test runner, latency spike simulation, and 30-day predictive maintenance metrics.</w:t>
      </w:r>
    </w:p>
    <w:p>
      <w:r>
        <w:br w:type="page"/>
      </w:r>
    </w:p>
    <w:p>
      <w:pPr>
        <w:keepNext/>
        <w:spacing w:before="200" w:after="60"/>
        <w:jc w:val="left"/>
      </w:pPr>
      <w:r>
        <w:rPr>
          <w:rFonts w:ascii="Times New Roman" w:hAnsi="Times New Roman"/>
          <w:b/>
          <w:sz w:val="28"/>
        </w:rPr>
        <w:t>APPENDIX I-C: Core Python Source Code Extracts</w:t>
      </w:r>
    </w:p>
    <w:p>
      <w:pPr>
        <w:spacing w:before="0" w:after="60" w:line="324" w:lineRule="auto"/>
        <w:jc w:val="both"/>
      </w:pPr>
      <w:r>
        <w:rPr>
          <w:rFonts w:ascii="Times New Roman" w:hAnsi="Times New Roman"/>
          <w:i/>
          <w:sz w:val="24"/>
        </w:rPr>
        <w:t xml:space="preserve">Sample Implementation Code: </w:t>
      </w:r>
      <w:r>
        <w:rPr>
          <w:rFonts w:ascii="Times New Roman" w:hAnsi="Times New Roman"/>
          <w:sz w:val="24"/>
        </w:rPr>
        <w:t>Below are selected code extracts demonstrating key technical implementations from the project:</w:t>
      </w:r>
    </w:p>
    <w:p>
      <w:pPr>
        <w:keepNext/>
        <w:spacing w:before="160" w:after="60"/>
        <w:jc w:val="left"/>
      </w:pPr>
      <w:r>
        <w:rPr>
          <w:rFonts w:ascii="Times New Roman" w:hAnsi="Times New Roman"/>
          <w:b/>
          <w:sz w:val="22"/>
        </w:rPr>
        <w:t>Listing 1: Hyperparameter Tuning Pipeline with Cross Validation</w:t>
      </w:r>
    </w:p>
    <w:p>
      <w:pPr>
        <w:spacing w:before="0" w:after="0" w:line="252" w:lineRule="auto"/>
        <w:ind w:left="288"/>
        <w:jc w:val="left"/>
      </w:pPr>
      <w:r>
        <w:rPr>
          <w:rFonts w:ascii="Consolas" w:hAnsi="Consolas"/>
          <w:sz w:val="17"/>
        </w:rPr>
        <w:t># Mini Project 1: Hyperparameter Tuning to Mitigate Overfitting</w:t>
      </w:r>
    </w:p>
    <w:p>
      <w:pPr>
        <w:spacing w:before="0" w:after="0" w:line="252" w:lineRule="auto"/>
        <w:ind w:left="288"/>
        <w:jc w:val="left"/>
      </w:pPr>
      <w:r>
        <w:rPr>
          <w:rFonts w:ascii="Consolas" w:hAnsi="Consolas"/>
          <w:sz w:val="17"/>
        </w:rPr>
        <w:t>from sklearn.ensemble import RandomForestClassifier</w:t>
      </w:r>
    </w:p>
    <w:p>
      <w:pPr>
        <w:spacing w:before="0" w:after="0" w:line="252" w:lineRule="auto"/>
        <w:ind w:left="288"/>
        <w:jc w:val="left"/>
      </w:pPr>
      <w:r>
        <w:rPr>
          <w:rFonts w:ascii="Consolas" w:hAnsi="Consolas"/>
          <w:sz w:val="17"/>
        </w:rPr>
        <w:t>from sklearn.model_selection import GridSearchCV, StratifiedKFold</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param_grid = {</w:t>
      </w:r>
    </w:p>
    <w:p>
      <w:pPr>
        <w:spacing w:before="0" w:after="0" w:line="252" w:lineRule="auto"/>
        <w:ind w:left="288"/>
        <w:jc w:val="left"/>
      </w:pPr>
      <w:r>
        <w:rPr>
          <w:rFonts w:ascii="Consolas" w:hAnsi="Consolas"/>
          <w:sz w:val="17"/>
        </w:rPr>
        <w:t xml:space="preserve">    'n_estimators': [100, 200],</w:t>
      </w:r>
    </w:p>
    <w:p>
      <w:pPr>
        <w:spacing w:before="0" w:after="0" w:line="252" w:lineRule="auto"/>
        <w:ind w:left="288"/>
        <w:jc w:val="left"/>
      </w:pPr>
      <w:r>
        <w:rPr>
          <w:rFonts w:ascii="Consolas" w:hAnsi="Consolas"/>
          <w:sz w:val="17"/>
        </w:rPr>
        <w:t xml:space="preserve">    'max_depth': [None, 5, 10],</w:t>
      </w:r>
    </w:p>
    <w:p>
      <w:pPr>
        <w:spacing w:before="0" w:after="0" w:line="252" w:lineRule="auto"/>
        <w:ind w:left="288"/>
        <w:jc w:val="left"/>
      </w:pPr>
      <w:r>
        <w:rPr>
          <w:rFonts w:ascii="Consolas" w:hAnsi="Consolas"/>
          <w:sz w:val="17"/>
        </w:rPr>
        <w:t xml:space="preserve">    'min_samples_split': [2, 5]</w:t>
      </w:r>
    </w:p>
    <w:p>
      <w:pPr>
        <w:spacing w:before="0" w:after="0" w:line="252" w:lineRule="auto"/>
        <w:ind w:left="288"/>
        <w:jc w:val="left"/>
      </w:pPr>
      <w:r>
        <w:rPr>
          <w:rFonts w:ascii="Consolas" w:hAnsi="Consolas"/>
          <w:sz w:val="17"/>
        </w:rPr>
        <w:t>}</w:t>
      </w:r>
    </w:p>
    <w:p>
      <w:pPr>
        <w:spacing w:before="0" w:after="0" w:line="252" w:lineRule="auto"/>
        <w:ind w:left="288"/>
        <w:jc w:val="left"/>
      </w:pPr>
      <w:r>
        <w:rPr>
          <w:rFonts w:ascii="Consolas" w:hAnsi="Consolas"/>
          <w:sz w:val="17"/>
        </w:rPr>
        <w:t>cv = StratifiedKFold(n_splits=5, shuffle=True, random_state=42)</w:t>
      </w:r>
    </w:p>
    <w:p>
      <w:pPr>
        <w:spacing w:before="0" w:after="0" w:line="252" w:lineRule="auto"/>
        <w:ind w:left="288"/>
        <w:jc w:val="left"/>
      </w:pPr>
      <w:r>
        <w:rPr>
          <w:rFonts w:ascii="Consolas" w:hAnsi="Consolas"/>
          <w:sz w:val="17"/>
        </w:rPr>
        <w:t>grid_search = GridSearchCV(</w:t>
      </w:r>
    </w:p>
    <w:p>
      <w:pPr>
        <w:spacing w:before="0" w:after="0" w:line="252" w:lineRule="auto"/>
        <w:ind w:left="288"/>
        <w:jc w:val="left"/>
      </w:pPr>
      <w:r>
        <w:rPr>
          <w:rFonts w:ascii="Consolas" w:hAnsi="Consolas"/>
          <w:sz w:val="17"/>
        </w:rPr>
        <w:t xml:space="preserve">    estimator=RandomForestClassifier(random_state=42),</w:t>
      </w:r>
    </w:p>
    <w:p>
      <w:pPr>
        <w:spacing w:before="0" w:after="0" w:line="252" w:lineRule="auto"/>
        <w:ind w:left="288"/>
        <w:jc w:val="left"/>
      </w:pPr>
      <w:r>
        <w:rPr>
          <w:rFonts w:ascii="Consolas" w:hAnsi="Consolas"/>
          <w:sz w:val="17"/>
        </w:rPr>
        <w:t xml:space="preserve">    param_grid=param_grid, cv=cv, scoring='accuracy', n_jobs=-1</w:t>
      </w:r>
    </w:p>
    <w:p>
      <w:pPr>
        <w:spacing w:before="0" w:after="0" w:line="252" w:lineRule="auto"/>
        <w:ind w:left="288"/>
        <w:jc w:val="left"/>
      </w:pPr>
      <w:r>
        <w:rPr>
          <w:rFonts w:ascii="Consolas" w:hAnsi="Consolas"/>
          <w:sz w:val="17"/>
        </w:rPr>
        <w:t>)</w:t>
      </w:r>
    </w:p>
    <w:p>
      <w:pPr>
        <w:spacing w:before="0" w:after="0" w:line="252" w:lineRule="auto"/>
        <w:ind w:left="288"/>
        <w:jc w:val="left"/>
      </w:pPr>
      <w:r>
        <w:rPr>
          <w:rFonts w:ascii="Consolas" w:hAnsi="Consolas"/>
          <w:sz w:val="17"/>
        </w:rPr>
        <w:t>grid_search.fit(X_train, y_train)</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best_rf = grid_search.best_estimator_</w:t>
      </w:r>
    </w:p>
    <w:p>
      <w:pPr>
        <w:spacing w:before="0" w:after="0" w:line="252" w:lineRule="auto"/>
        <w:ind w:left="288"/>
        <w:jc w:val="left"/>
      </w:pPr>
      <w:r>
        <w:rPr>
          <w:rFonts w:ascii="Consolas" w:hAnsi="Consolas"/>
          <w:sz w:val="17"/>
        </w:rPr>
        <w:t>train_acc = best_rf.score(X_train, y_train)  # 0.9380</w:t>
      </w:r>
    </w:p>
    <w:p>
      <w:pPr>
        <w:spacing w:before="0" w:after="0" w:line="252" w:lineRule="auto"/>
        <w:ind w:left="288"/>
        <w:jc w:val="left"/>
      </w:pPr>
      <w:r>
        <w:rPr>
          <w:rFonts w:ascii="Consolas" w:hAnsi="Consolas"/>
          <w:sz w:val="17"/>
        </w:rPr>
        <w:t>test_acc = best_rf.score(X_test, y_test)    # 0.8852</w:t>
      </w:r>
    </w:p>
    <w:p>
      <w:pPr>
        <w:spacing w:before="0" w:after="0" w:line="252" w:lineRule="auto"/>
        <w:ind w:left="288"/>
        <w:jc w:val="left"/>
      </w:pPr>
      <w:r>
        <w:rPr>
          <w:rFonts w:ascii="Consolas" w:hAnsi="Consolas"/>
          <w:sz w:val="17"/>
        </w:rPr>
        <w:t>overfit_gap = train_acc - test_acc          # 0.0528 (Reduced from 0.1311)</w:t>
      </w:r>
    </w:p>
    <w:p>
      <w:pPr>
        <w:spacing w:before="0" w:after="0" w:line="252" w:lineRule="auto"/>
        <w:ind w:left="288"/>
        <w:jc w:val="left"/>
      </w:pPr>
      <w:r>
        <w:rPr>
          <w:rFonts w:ascii="Consolas" w:hAnsi="Consolas"/>
          <w:sz w:val="17"/>
        </w:rPr>
        <w:t>print(f'Tuned Train: {train_acc:.4f}, Test: {test_acc:.4f}, Gap: {overfit_gap:.4f}')</w:t>
      </w:r>
    </w:p>
    <w:p>
      <w:pPr>
        <w:keepNext/>
        <w:spacing w:before="160" w:after="60"/>
        <w:jc w:val="left"/>
      </w:pPr>
      <w:r>
        <w:rPr>
          <w:rFonts w:ascii="Times New Roman" w:hAnsi="Times New Roman"/>
          <w:b/>
          <w:sz w:val="22"/>
        </w:rPr>
        <w:t>Listing 2: ACID-Compliant Book Checkout Transaction Implementation</w:t>
      </w:r>
    </w:p>
    <w:p>
      <w:pPr>
        <w:spacing w:before="0" w:after="0" w:line="252" w:lineRule="auto"/>
        <w:ind w:left="288"/>
        <w:jc w:val="left"/>
      </w:pPr>
      <w:r>
        <w:rPr>
          <w:rFonts w:ascii="Consolas" w:hAnsi="Consolas"/>
          <w:sz w:val="17"/>
        </w:rPr>
        <w:t># Mini Project 2: Book Checkout Business Logic with ACID Verification</w:t>
      </w:r>
    </w:p>
    <w:p>
      <w:pPr>
        <w:spacing w:before="0" w:after="0" w:line="252" w:lineRule="auto"/>
        <w:ind w:left="288"/>
        <w:jc w:val="left"/>
      </w:pPr>
      <w:r>
        <w:rPr>
          <w:rFonts w:ascii="Consolas" w:hAnsi="Consolas"/>
          <w:sz w:val="17"/>
        </w:rPr>
        <w:t>def borrow_book(conn, student_id, book_id):</w:t>
      </w:r>
    </w:p>
    <w:p>
      <w:pPr>
        <w:spacing w:before="0" w:after="0" w:line="252" w:lineRule="auto"/>
        <w:ind w:left="288"/>
        <w:jc w:val="left"/>
      </w:pPr>
      <w:r>
        <w:rPr>
          <w:rFonts w:ascii="Consolas" w:hAnsi="Consolas"/>
          <w:sz w:val="17"/>
        </w:rPr>
        <w:t xml:space="preserve">    cursor = conn.cursor()</w:t>
      </w:r>
    </w:p>
    <w:p>
      <w:pPr>
        <w:spacing w:before="0" w:after="0" w:line="252" w:lineRule="auto"/>
        <w:ind w:left="288"/>
        <w:jc w:val="left"/>
      </w:pPr>
      <w:r>
        <w:rPr>
          <w:rFonts w:ascii="Consolas" w:hAnsi="Consolas"/>
          <w:sz w:val="17"/>
        </w:rPr>
        <w:t xml:space="preserve">    cursor.execute(</w:t>
      </w:r>
    </w:p>
    <w:p>
      <w:pPr>
        <w:spacing w:before="0" w:after="0" w:line="252" w:lineRule="auto"/>
        <w:ind w:left="288"/>
        <w:jc w:val="left"/>
      </w:pPr>
      <w:r>
        <w:rPr>
          <w:rFonts w:ascii="Consolas" w:hAnsi="Consolas"/>
          <w:sz w:val="17"/>
        </w:rPr>
        <w:t xml:space="preserve">        "SELECT available_copies FROM Books WHERE book_id = ?", (book_id,)</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 xml:space="preserve">    row = cursor.fetchone()</w:t>
      </w:r>
    </w:p>
    <w:p>
      <w:pPr>
        <w:spacing w:before="0" w:after="0" w:line="252" w:lineRule="auto"/>
        <w:ind w:left="288"/>
        <w:jc w:val="left"/>
      </w:pPr>
      <w:r>
        <w:rPr>
          <w:rFonts w:ascii="Consolas" w:hAnsi="Consolas"/>
          <w:sz w:val="17"/>
        </w:rPr>
        <w:t xml:space="preserve">    if not row or row[0] &lt;= 0:</w:t>
      </w:r>
    </w:p>
    <w:p>
      <w:pPr>
        <w:spacing w:before="0" w:after="0" w:line="252" w:lineRule="auto"/>
        <w:ind w:left="288"/>
        <w:jc w:val="left"/>
      </w:pPr>
      <w:r>
        <w:rPr>
          <w:rFonts w:ascii="Consolas" w:hAnsi="Consolas"/>
          <w:sz w:val="17"/>
        </w:rPr>
        <w:t xml:space="preserve">        return False, "Error: Book is currently unavailable for borrowing."</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 xml:space="preserve">    cursor.execute(</w:t>
      </w:r>
    </w:p>
    <w:p>
      <w:pPr>
        <w:spacing w:before="0" w:after="0" w:line="252" w:lineRule="auto"/>
        <w:ind w:left="288"/>
        <w:jc w:val="left"/>
      </w:pPr>
      <w:r>
        <w:rPr>
          <w:rFonts w:ascii="Consolas" w:hAnsi="Consolas"/>
          <w:sz w:val="17"/>
        </w:rPr>
        <w:t xml:space="preserve">        "SELECT COUNT(*) FROM Borrows WHERE student_id = ? AND status = 'Active'",</w:t>
      </w:r>
    </w:p>
    <w:p>
      <w:pPr>
        <w:spacing w:before="0" w:after="0" w:line="252" w:lineRule="auto"/>
        <w:ind w:left="288"/>
        <w:jc w:val="left"/>
      </w:pPr>
      <w:r>
        <w:rPr>
          <w:rFonts w:ascii="Consolas" w:hAnsi="Consolas"/>
          <w:sz w:val="17"/>
        </w:rPr>
        <w:t xml:space="preserve">        (student_id,)</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 xml:space="preserve">    if cursor.fetchone()[0] &gt;= 3:</w:t>
      </w:r>
    </w:p>
    <w:p>
      <w:pPr>
        <w:spacing w:before="0" w:after="0" w:line="252" w:lineRule="auto"/>
        <w:ind w:left="288"/>
        <w:jc w:val="left"/>
      </w:pPr>
      <w:r>
        <w:rPr>
          <w:rFonts w:ascii="Consolas" w:hAnsi="Consolas"/>
          <w:sz w:val="17"/>
        </w:rPr>
        <w:t xml:space="preserve">        return False, "Error: Maximum borrowing quota reached (3 active loans allowed)."</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 xml:space="preserve">    due_date = (datetime.date.today() + datetime.timedelta(days=14)).isoformat()</w:t>
      </w:r>
    </w:p>
    <w:p>
      <w:pPr>
        <w:spacing w:before="0" w:after="0" w:line="252" w:lineRule="auto"/>
        <w:ind w:left="288"/>
        <w:jc w:val="left"/>
      </w:pPr>
      <w:r>
        <w:rPr>
          <w:rFonts w:ascii="Consolas" w:hAnsi="Consolas"/>
          <w:sz w:val="17"/>
        </w:rPr>
        <w:t xml:space="preserve">    cursor.execute(</w:t>
      </w:r>
    </w:p>
    <w:p>
      <w:pPr>
        <w:spacing w:before="0" w:after="0" w:line="252" w:lineRule="auto"/>
        <w:ind w:left="288"/>
        <w:jc w:val="left"/>
      </w:pPr>
      <w:r>
        <w:rPr>
          <w:rFonts w:ascii="Consolas" w:hAnsi="Consolas"/>
          <w:sz w:val="17"/>
        </w:rPr>
        <w:t xml:space="preserve">        "INSERT INTO Borrows (student_id, book_id, borrow_date, due_date, status) "</w:t>
      </w:r>
    </w:p>
    <w:p>
      <w:pPr>
        <w:spacing w:before="0" w:after="0" w:line="252" w:lineRule="auto"/>
        <w:ind w:left="288"/>
        <w:jc w:val="left"/>
      </w:pPr>
      <w:r>
        <w:rPr>
          <w:rFonts w:ascii="Consolas" w:hAnsi="Consolas"/>
          <w:sz w:val="17"/>
        </w:rPr>
        <w:t xml:space="preserve">        "VALUES (?, ?, date('now'), ?, 'Active')",</w:t>
      </w:r>
    </w:p>
    <w:p>
      <w:pPr>
        <w:spacing w:before="0" w:after="0" w:line="252" w:lineRule="auto"/>
        <w:ind w:left="288"/>
        <w:jc w:val="left"/>
      </w:pPr>
      <w:r>
        <w:rPr>
          <w:rFonts w:ascii="Consolas" w:hAnsi="Consolas"/>
          <w:sz w:val="17"/>
        </w:rPr>
        <w:t xml:space="preserve">        (student_id, book_id, due_date)</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 xml:space="preserve">    cursor.execute(</w:t>
      </w:r>
    </w:p>
    <w:p>
      <w:pPr>
        <w:spacing w:before="0" w:after="0" w:line="252" w:lineRule="auto"/>
        <w:ind w:left="288"/>
        <w:jc w:val="left"/>
      </w:pPr>
      <w:r>
        <w:rPr>
          <w:rFonts w:ascii="Consolas" w:hAnsi="Consolas"/>
          <w:sz w:val="17"/>
        </w:rPr>
        <w:t xml:space="preserve">        "UPDATE Books SET available_copies = available_copies - 1 WHERE book_id = ?",</w:t>
      </w:r>
    </w:p>
    <w:p>
      <w:pPr>
        <w:spacing w:before="0" w:after="0" w:line="252" w:lineRule="auto"/>
        <w:ind w:left="288"/>
        <w:jc w:val="left"/>
      </w:pPr>
      <w:r>
        <w:rPr>
          <w:rFonts w:ascii="Consolas" w:hAnsi="Consolas"/>
          <w:sz w:val="17"/>
        </w:rPr>
        <w:t xml:space="preserve">        (book_id,)</w:t>
      </w:r>
    </w:p>
    <w:p>
      <w:pPr>
        <w:spacing w:before="0" w:after="0" w:line="252" w:lineRule="auto"/>
        <w:ind w:left="288"/>
        <w:jc w:val="left"/>
      </w:pPr>
      <w:r>
        <w:rPr>
          <w:rFonts w:ascii="Consolas" w:hAnsi="Consolas"/>
          <w:sz w:val="17"/>
        </w:rPr>
        <w:t xml:space="preserve">    )</w:t>
      </w:r>
    </w:p>
    <w:p>
      <w:pPr>
        <w:spacing w:before="0" w:after="0" w:line="252" w:lineRule="auto"/>
        <w:ind w:left="288"/>
        <w:jc w:val="left"/>
      </w:pPr>
      <w:r>
        <w:rPr>
          <w:rFonts w:ascii="Consolas" w:hAnsi="Consolas"/>
          <w:sz w:val="17"/>
        </w:rPr>
        <w:t xml:space="preserve">    conn.commit()</w:t>
      </w:r>
    </w:p>
    <w:p>
      <w:pPr>
        <w:spacing w:before="0" w:after="0" w:line="252" w:lineRule="auto"/>
        <w:ind w:left="288"/>
        <w:jc w:val="left"/>
      </w:pPr>
      <w:r>
        <w:rPr>
          <w:rFonts w:ascii="Consolas" w:hAnsi="Consolas"/>
          <w:sz w:val="17"/>
        </w:rPr>
        <w:t xml:space="preserve">    return True, f"Success: Book issued successfully. Due date: {due_date}"</w:t>
      </w:r>
    </w:p>
    <w:sectPr w:rsidR="00FC693F" w:rsidRPr="0006063C" w:rsidSect="00034616">
      <w:footerReference w:type="default" r:id="rId14"/>
      <w:pgSz w:w="12240" w:h="15840"/>
      <w:pgMar w:top="1152" w:right="1440" w:bottom="1152"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footer" Target="footer2.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