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517E" w14:textId="77777777" w:rsidR="0050756B" w:rsidRPr="00E3016C" w:rsidRDefault="00000000">
      <w:pPr>
        <w:pStyle w:val="Title"/>
        <w:jc w:val="center"/>
        <w:rPr>
          <w:sz w:val="32"/>
          <w:szCs w:val="32"/>
        </w:rPr>
      </w:pPr>
      <w:r w:rsidRPr="00E3016C">
        <w:rPr>
          <w:sz w:val="32"/>
          <w:szCs w:val="32"/>
        </w:rPr>
        <w:t>Task 1 - Adversity Profiles of Each Client</w:t>
      </w:r>
    </w:p>
    <w:p w14:paraId="6B2CE2B8" w14:textId="77777777" w:rsidR="0050756B" w:rsidRDefault="00000000">
      <w:r>
        <w:t xml:space="preserve">A trade is adverse at horizon </w:t>
      </w:r>
      <w:r>
        <w:rPr>
          <w:rFonts w:ascii="Cambria Math" w:hAnsi="Cambria Math"/>
          <w:i/>
        </w:rPr>
        <w:t>τ</w:t>
      </w:r>
      <w:r>
        <w:t xml:space="preserve"> if, closing the position at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</w:rPr>
        <w:t xml:space="preserve"> = </w:t>
      </w:r>
      <w:r>
        <w:rPr>
          <w:rFonts w:ascii="Cambria Math" w:hAnsi="Cambria Math"/>
          <w:i/>
        </w:rPr>
        <w:t>τ</w:t>
      </w:r>
      <w:r>
        <w:t xml:space="preserve">, the LP PnL is negative: </w:t>
      </w:r>
      <w:r>
        <w:rPr>
          <w:rFonts w:ascii="Cambria Math" w:hAnsi="Cambria Math"/>
        </w:rPr>
        <w:t xml:space="preserve">side ·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· (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i/>
          <w:vertAlign w:val="subscript"/>
        </w:rPr>
        <w:t>τ</w:t>
      </w:r>
      <w:r>
        <w:rPr>
          <w:rFonts w:ascii="Cambria Math" w:hAnsi="Cambria Math"/>
        </w:rPr>
        <w:t xml:space="preserve"> -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P</w:t>
      </w:r>
      <w:r>
        <w:rPr>
          <w:rFonts w:ascii="Cambria Math" w:hAnsi="Cambria Math"/>
        </w:rPr>
        <w:t>) &lt; 0</w:t>
      </w:r>
      <w:r>
        <w:t xml:space="preserve">. Since </w:t>
      </w:r>
      <w:r>
        <w:rPr>
          <w:rFonts w:ascii="Cambria Math" w:hAnsi="Cambria Math"/>
          <w:i/>
        </w:rPr>
        <w:t>V</w:t>
      </w:r>
      <w:r>
        <w:rPr>
          <w:rFonts w:ascii="Cambria Math" w:hAnsi="Cambria Math"/>
        </w:rPr>
        <w:t xml:space="preserve"> &gt; 0</w:t>
      </w:r>
      <w:r>
        <w:t xml:space="preserve">, only the sign of </w:t>
      </w:r>
      <w:r>
        <w:rPr>
          <w:rFonts w:ascii="Cambria Math" w:hAnsi="Cambria Math"/>
        </w:rPr>
        <w:t>side · (</w:t>
      </w:r>
      <w:r>
        <w:rPr>
          <w:rFonts w:ascii="Cambria Math" w:hAnsi="Cambria Math"/>
          <w:i/>
        </w:rPr>
        <w:t>M</w:t>
      </w:r>
      <w:r>
        <w:rPr>
          <w:rFonts w:ascii="Cambria Math" w:hAnsi="Cambria Math"/>
          <w:i/>
          <w:vertAlign w:val="subscript"/>
        </w:rPr>
        <w:t>τ</w:t>
      </w:r>
      <w:r>
        <w:rPr>
          <w:rFonts w:ascii="Cambria Math" w:hAnsi="Cambria Math"/>
        </w:rPr>
        <w:t xml:space="preserve"> -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P</w:t>
      </w:r>
      <w:r>
        <w:rPr>
          <w:rFonts w:ascii="Cambria Math" w:hAnsi="Cambria Math"/>
        </w:rPr>
        <w:t>)</w:t>
      </w:r>
      <w:r>
        <w:t xml:space="preserve"> matters. </w:t>
      </w:r>
      <w:r>
        <w:rPr>
          <w:rFonts w:ascii="Cambria Math" w:hAnsi="Cambria Math"/>
        </w:rPr>
        <w:t xml:space="preserve">Adversity(client, </w:t>
      </w:r>
      <w:r>
        <w:rPr>
          <w:rFonts w:ascii="Cambria Math" w:hAnsi="Cambria Math"/>
          <w:i/>
        </w:rPr>
        <w:t>τ</w:t>
      </w:r>
      <w:r>
        <w:rPr>
          <w:rFonts w:ascii="Cambria Math" w:hAnsi="Cambria Math"/>
        </w:rPr>
        <w:t>)</w:t>
      </w:r>
      <w:r>
        <w:t xml:space="preserve"> = % of that client's trades that are adverse.</w:t>
      </w:r>
    </w:p>
    <w:p w14:paraId="34028FFA" w14:textId="77777777" w:rsidR="0050756B" w:rsidRDefault="00000000">
      <w:pPr>
        <w:jc w:val="center"/>
      </w:pPr>
      <w:r>
        <w:rPr>
          <w:noProof/>
        </w:rPr>
        <w:drawing>
          <wp:inline distT="0" distB="0" distL="0" distR="0" wp14:anchorId="1D449D28" wp14:editId="78E26D02">
            <wp:extent cx="5228304" cy="2904613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fig_task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012" cy="291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2948" w14:textId="77777777" w:rsidR="0050756B" w:rsidRDefault="00000000">
      <w:pPr>
        <w:pStyle w:val="Heading2"/>
      </w:pPr>
      <w:r>
        <w:t>Results table (adversity %, by horizon)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0756B" w14:paraId="4DEAF0E0" w14:textId="77777777" w:rsidTr="00507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EEA996" w14:textId="77777777" w:rsidR="0050756B" w:rsidRDefault="00000000">
            <w:r>
              <w:t>client</w:t>
            </w:r>
          </w:p>
        </w:tc>
        <w:tc>
          <w:tcPr>
            <w:tcW w:w="1234" w:type="dxa"/>
          </w:tcPr>
          <w:p w14:paraId="10ECD80E" w14:textId="77777777" w:rsidR="00507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  <w:i/>
              </w:rPr>
              <w:t>τ</w:t>
            </w:r>
            <w:r>
              <w:t>=5</w:t>
            </w:r>
          </w:p>
        </w:tc>
        <w:tc>
          <w:tcPr>
            <w:tcW w:w="1234" w:type="dxa"/>
          </w:tcPr>
          <w:p w14:paraId="69294E86" w14:textId="77777777" w:rsidR="00507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  <w:i/>
              </w:rPr>
              <w:t>τ</w:t>
            </w:r>
            <w:r>
              <w:t>=10</w:t>
            </w:r>
          </w:p>
        </w:tc>
        <w:tc>
          <w:tcPr>
            <w:tcW w:w="1234" w:type="dxa"/>
          </w:tcPr>
          <w:p w14:paraId="70B668C8" w14:textId="77777777" w:rsidR="00507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  <w:i/>
              </w:rPr>
              <w:t>τ</w:t>
            </w:r>
            <w:r>
              <w:t>=15</w:t>
            </w:r>
          </w:p>
        </w:tc>
        <w:tc>
          <w:tcPr>
            <w:tcW w:w="1234" w:type="dxa"/>
          </w:tcPr>
          <w:p w14:paraId="20DEB566" w14:textId="77777777" w:rsidR="00507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  <w:i/>
              </w:rPr>
              <w:t>τ</w:t>
            </w:r>
            <w:r>
              <w:t>=20</w:t>
            </w:r>
          </w:p>
        </w:tc>
        <w:tc>
          <w:tcPr>
            <w:tcW w:w="1234" w:type="dxa"/>
          </w:tcPr>
          <w:p w14:paraId="1AE1BD62" w14:textId="77777777" w:rsidR="00507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  <w:i/>
              </w:rPr>
              <w:t>τ</w:t>
            </w:r>
            <w:r>
              <w:t>=25</w:t>
            </w:r>
          </w:p>
        </w:tc>
        <w:tc>
          <w:tcPr>
            <w:tcW w:w="1234" w:type="dxa"/>
          </w:tcPr>
          <w:p w14:paraId="612B1C56" w14:textId="77777777" w:rsidR="00507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/>
                <w:i/>
              </w:rPr>
              <w:t>τ</w:t>
            </w:r>
            <w:r>
              <w:t>=30</w:t>
            </w:r>
          </w:p>
        </w:tc>
      </w:tr>
      <w:tr w:rsidR="0050756B" w14:paraId="1C7B6D9C" w14:textId="77777777" w:rsidTr="00507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9278EDA" w14:textId="77777777" w:rsidR="0050756B" w:rsidRDefault="00000000">
            <w:r>
              <w:t>A</w:t>
            </w:r>
          </w:p>
        </w:tc>
        <w:tc>
          <w:tcPr>
            <w:tcW w:w="1234" w:type="dxa"/>
          </w:tcPr>
          <w:p w14:paraId="0DA013FF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39.72</w:t>
            </w:r>
          </w:p>
        </w:tc>
        <w:tc>
          <w:tcPr>
            <w:tcW w:w="1234" w:type="dxa"/>
          </w:tcPr>
          <w:p w14:paraId="512BC619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41.40</w:t>
            </w:r>
          </w:p>
        </w:tc>
        <w:tc>
          <w:tcPr>
            <w:tcW w:w="1234" w:type="dxa"/>
          </w:tcPr>
          <w:p w14:paraId="175B8A39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42.19</w:t>
            </w:r>
          </w:p>
        </w:tc>
        <w:tc>
          <w:tcPr>
            <w:tcW w:w="1234" w:type="dxa"/>
          </w:tcPr>
          <w:p w14:paraId="2DD257B8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41.95</w:t>
            </w:r>
          </w:p>
        </w:tc>
        <w:tc>
          <w:tcPr>
            <w:tcW w:w="1234" w:type="dxa"/>
          </w:tcPr>
          <w:p w14:paraId="797BEB5B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41.90</w:t>
            </w:r>
          </w:p>
        </w:tc>
        <w:tc>
          <w:tcPr>
            <w:tcW w:w="1234" w:type="dxa"/>
          </w:tcPr>
          <w:p w14:paraId="22010722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41.71</w:t>
            </w:r>
          </w:p>
        </w:tc>
      </w:tr>
      <w:tr w:rsidR="0050756B" w14:paraId="32E4224B" w14:textId="77777777" w:rsidTr="00507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628AD5F" w14:textId="77777777" w:rsidR="0050756B" w:rsidRDefault="00000000">
            <w:r>
              <w:t>B</w:t>
            </w:r>
          </w:p>
        </w:tc>
        <w:tc>
          <w:tcPr>
            <w:tcW w:w="1234" w:type="dxa"/>
          </w:tcPr>
          <w:p w14:paraId="218FFC17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40.75</w:t>
            </w:r>
          </w:p>
        </w:tc>
        <w:tc>
          <w:tcPr>
            <w:tcW w:w="1234" w:type="dxa"/>
          </w:tcPr>
          <w:p w14:paraId="2BC6CB62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42.36</w:t>
            </w:r>
          </w:p>
        </w:tc>
        <w:tc>
          <w:tcPr>
            <w:tcW w:w="1234" w:type="dxa"/>
          </w:tcPr>
          <w:p w14:paraId="04753DF4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43.16</w:t>
            </w:r>
          </w:p>
        </w:tc>
        <w:tc>
          <w:tcPr>
            <w:tcW w:w="1234" w:type="dxa"/>
          </w:tcPr>
          <w:p w14:paraId="20D67AD5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43.30</w:t>
            </w:r>
          </w:p>
        </w:tc>
        <w:tc>
          <w:tcPr>
            <w:tcW w:w="1234" w:type="dxa"/>
          </w:tcPr>
          <w:p w14:paraId="5F32F1E7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43.42</w:t>
            </w:r>
          </w:p>
        </w:tc>
        <w:tc>
          <w:tcPr>
            <w:tcW w:w="1234" w:type="dxa"/>
          </w:tcPr>
          <w:p w14:paraId="4077116C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43.30</w:t>
            </w:r>
          </w:p>
        </w:tc>
      </w:tr>
      <w:tr w:rsidR="0050756B" w14:paraId="3F6516A7" w14:textId="77777777" w:rsidTr="00507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046AB7" w14:textId="77777777" w:rsidR="0050756B" w:rsidRDefault="00000000">
            <w:r>
              <w:t>C</w:t>
            </w:r>
          </w:p>
        </w:tc>
        <w:tc>
          <w:tcPr>
            <w:tcW w:w="1234" w:type="dxa"/>
          </w:tcPr>
          <w:p w14:paraId="457ED5A8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41.37</w:t>
            </w:r>
          </w:p>
        </w:tc>
        <w:tc>
          <w:tcPr>
            <w:tcW w:w="1234" w:type="dxa"/>
          </w:tcPr>
          <w:p w14:paraId="2DD76C84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43.35</w:t>
            </w:r>
          </w:p>
        </w:tc>
        <w:tc>
          <w:tcPr>
            <w:tcW w:w="1234" w:type="dxa"/>
          </w:tcPr>
          <w:p w14:paraId="3C6ADFAA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44.25</w:t>
            </w:r>
          </w:p>
        </w:tc>
        <w:tc>
          <w:tcPr>
            <w:tcW w:w="1234" w:type="dxa"/>
          </w:tcPr>
          <w:p w14:paraId="6B13632F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44.84</w:t>
            </w:r>
          </w:p>
        </w:tc>
        <w:tc>
          <w:tcPr>
            <w:tcW w:w="1234" w:type="dxa"/>
          </w:tcPr>
          <w:p w14:paraId="61D0E786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45.39</w:t>
            </w:r>
          </w:p>
        </w:tc>
        <w:tc>
          <w:tcPr>
            <w:tcW w:w="1234" w:type="dxa"/>
          </w:tcPr>
          <w:p w14:paraId="264EFDA3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45.92</w:t>
            </w:r>
          </w:p>
        </w:tc>
      </w:tr>
      <w:tr w:rsidR="0050756B" w14:paraId="51137FC4" w14:textId="77777777" w:rsidTr="00507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422E69A" w14:textId="77777777" w:rsidR="0050756B" w:rsidRDefault="00000000">
            <w:r>
              <w:t>D</w:t>
            </w:r>
          </w:p>
        </w:tc>
        <w:tc>
          <w:tcPr>
            <w:tcW w:w="1234" w:type="dxa"/>
          </w:tcPr>
          <w:p w14:paraId="69F564EE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43.32</w:t>
            </w:r>
          </w:p>
        </w:tc>
        <w:tc>
          <w:tcPr>
            <w:tcW w:w="1234" w:type="dxa"/>
          </w:tcPr>
          <w:p w14:paraId="062DE724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46.52</w:t>
            </w:r>
          </w:p>
        </w:tc>
        <w:tc>
          <w:tcPr>
            <w:tcW w:w="1234" w:type="dxa"/>
          </w:tcPr>
          <w:p w14:paraId="2A08FA0A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48.17</w:t>
            </w:r>
          </w:p>
        </w:tc>
        <w:tc>
          <w:tcPr>
            <w:tcW w:w="1234" w:type="dxa"/>
          </w:tcPr>
          <w:p w14:paraId="356D20AF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49.71</w:t>
            </w:r>
          </w:p>
        </w:tc>
        <w:tc>
          <w:tcPr>
            <w:tcW w:w="1234" w:type="dxa"/>
          </w:tcPr>
          <w:p w14:paraId="368BA541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50.62</w:t>
            </w:r>
          </w:p>
        </w:tc>
        <w:tc>
          <w:tcPr>
            <w:tcW w:w="1234" w:type="dxa"/>
          </w:tcPr>
          <w:p w14:paraId="264F73A0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51.75</w:t>
            </w:r>
          </w:p>
        </w:tc>
      </w:tr>
      <w:tr w:rsidR="0050756B" w14:paraId="3344C927" w14:textId="77777777" w:rsidTr="00507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4195658" w14:textId="77777777" w:rsidR="0050756B" w:rsidRDefault="00000000">
            <w:r>
              <w:t>E</w:t>
            </w:r>
          </w:p>
        </w:tc>
        <w:tc>
          <w:tcPr>
            <w:tcW w:w="1234" w:type="dxa"/>
          </w:tcPr>
          <w:p w14:paraId="0B126D80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44.96</w:t>
            </w:r>
          </w:p>
        </w:tc>
        <w:tc>
          <w:tcPr>
            <w:tcW w:w="1234" w:type="dxa"/>
          </w:tcPr>
          <w:p w14:paraId="5CFF80D2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48.49</w:t>
            </w:r>
          </w:p>
        </w:tc>
        <w:tc>
          <w:tcPr>
            <w:tcW w:w="1234" w:type="dxa"/>
          </w:tcPr>
          <w:p w14:paraId="50FDD067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50.92</w:t>
            </w:r>
          </w:p>
        </w:tc>
        <w:tc>
          <w:tcPr>
            <w:tcW w:w="1234" w:type="dxa"/>
          </w:tcPr>
          <w:p w14:paraId="3430F0A3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52.13</w:t>
            </w:r>
          </w:p>
        </w:tc>
        <w:tc>
          <w:tcPr>
            <w:tcW w:w="1234" w:type="dxa"/>
          </w:tcPr>
          <w:p w14:paraId="548C624C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53.85</w:t>
            </w:r>
          </w:p>
        </w:tc>
        <w:tc>
          <w:tcPr>
            <w:tcW w:w="1234" w:type="dxa"/>
          </w:tcPr>
          <w:p w14:paraId="28A3E995" w14:textId="77777777" w:rsidR="00507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54.84</w:t>
            </w:r>
          </w:p>
        </w:tc>
      </w:tr>
      <w:tr w:rsidR="0050756B" w14:paraId="27031AE1" w14:textId="77777777" w:rsidTr="00507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0E5B6B4" w14:textId="77777777" w:rsidR="0050756B" w:rsidRDefault="00000000">
            <w:r>
              <w:t>F</w:t>
            </w:r>
          </w:p>
        </w:tc>
        <w:tc>
          <w:tcPr>
            <w:tcW w:w="1234" w:type="dxa"/>
          </w:tcPr>
          <w:p w14:paraId="379F19EB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47.01</w:t>
            </w:r>
          </w:p>
        </w:tc>
        <w:tc>
          <w:tcPr>
            <w:tcW w:w="1234" w:type="dxa"/>
          </w:tcPr>
          <w:p w14:paraId="6DB20FE1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51.67</w:t>
            </w:r>
          </w:p>
        </w:tc>
        <w:tc>
          <w:tcPr>
            <w:tcW w:w="1234" w:type="dxa"/>
          </w:tcPr>
          <w:p w14:paraId="63181DD4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54.26</w:t>
            </w:r>
          </w:p>
        </w:tc>
        <w:tc>
          <w:tcPr>
            <w:tcW w:w="1234" w:type="dxa"/>
          </w:tcPr>
          <w:p w14:paraId="2F3D27DB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56.94</w:t>
            </w:r>
          </w:p>
        </w:tc>
        <w:tc>
          <w:tcPr>
            <w:tcW w:w="1234" w:type="dxa"/>
          </w:tcPr>
          <w:p w14:paraId="582ECE3B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59.49</w:t>
            </w:r>
          </w:p>
        </w:tc>
        <w:tc>
          <w:tcPr>
            <w:tcW w:w="1234" w:type="dxa"/>
          </w:tcPr>
          <w:p w14:paraId="16AA86D3" w14:textId="77777777" w:rsidR="00507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61.88</w:t>
            </w:r>
          </w:p>
        </w:tc>
      </w:tr>
    </w:tbl>
    <w:p w14:paraId="3D2AF57E" w14:textId="77777777" w:rsidR="0050756B" w:rsidRDefault="00000000">
      <w:pPr>
        <w:pStyle w:val="Heading2"/>
      </w:pPr>
      <w:r>
        <w:t>Trends observed</w:t>
      </w:r>
    </w:p>
    <w:p w14:paraId="3418AEC0" w14:textId="77777777" w:rsidR="0050756B" w:rsidRDefault="00000000">
      <w:pPr>
        <w:pStyle w:val="ListBullet"/>
      </w:pPr>
      <w:r>
        <w:t xml:space="preserve">1. Monotone in horizon. For every client adversity rises (or is flat) as </w:t>
      </w:r>
      <w:r>
        <w:rPr>
          <w:rFonts w:ascii="Cambria Math" w:hAnsi="Cambria Math"/>
          <w:i/>
        </w:rPr>
        <w:t>τ</w:t>
      </w:r>
      <w:r>
        <w:t xml:space="preserve"> grows from 5s to 30s. Right after a fill the mid is still close to </w:t>
      </w:r>
      <w:r>
        <w:rPr>
          <w:rFonts w:ascii="Cambria Math" w:hAnsi="Cambria Math"/>
          <w:i/>
        </w:rPr>
        <w:t>T</w:t>
      </w:r>
      <w:r>
        <w:rPr>
          <w:rFonts w:ascii="Cambria Math" w:hAnsi="Cambria Math"/>
          <w:i/>
          <w:vertAlign w:val="subscript"/>
        </w:rPr>
        <w:t>P</w:t>
      </w:r>
      <w:r>
        <w:t>, so roughly half the trades look adverse; as time passes informed flow keeps pushing the mid against us, so more positions would close at a loss. This is the signature of adverse selection / short-horizon drift.</w:t>
      </w:r>
    </w:p>
    <w:p w14:paraId="31F4DCA2" w14:textId="77777777" w:rsidR="0050756B" w:rsidRDefault="00000000">
      <w:pPr>
        <w:pStyle w:val="ListBullet"/>
      </w:pPr>
      <w:r>
        <w:t>2. Clear ranking across clients. A and B stay near 40-43% and almost flat - close to a coin flip, i.e. little information in their flow. C is mildly adverse. D, E and F are progressively worse, with F climbing from ~47% at 5s to ~62% at 30s. The steeper the curve, the more informed (toxic) the client: their trades systematically precede mid moves against us.</w:t>
      </w:r>
    </w:p>
    <w:p w14:paraId="19C10760" w14:textId="77777777" w:rsidR="0050756B" w:rsidRDefault="00000000">
      <w:pPr>
        <w:pStyle w:val="ListBullet"/>
      </w:pPr>
      <w:r>
        <w:t xml:space="preserve">3. Interpretation for the LP. Clients whose adversity exceeds 50% and grows with </w:t>
      </w:r>
      <w:r>
        <w:rPr>
          <w:rFonts w:ascii="Cambria Math" w:hAnsi="Cambria Math"/>
          <w:i/>
        </w:rPr>
        <w:t>τ</w:t>
      </w:r>
      <w:r>
        <w:t xml:space="preserve"> (E, F, and D at long horizons) are picking us off; clients below 50% (A, B, C) are benign. This ranking directly motivates the per-client spread widening quantified in Task 2.</w:t>
      </w:r>
    </w:p>
    <w:sectPr w:rsidR="00507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41014">
    <w:abstractNumId w:val="8"/>
  </w:num>
  <w:num w:numId="2" w16cid:durableId="478307527">
    <w:abstractNumId w:val="6"/>
  </w:num>
  <w:num w:numId="3" w16cid:durableId="2033871078">
    <w:abstractNumId w:val="5"/>
  </w:num>
  <w:num w:numId="4" w16cid:durableId="777333296">
    <w:abstractNumId w:val="4"/>
  </w:num>
  <w:num w:numId="5" w16cid:durableId="1158034653">
    <w:abstractNumId w:val="7"/>
  </w:num>
  <w:num w:numId="6" w16cid:durableId="953177277">
    <w:abstractNumId w:val="3"/>
  </w:num>
  <w:num w:numId="7" w16cid:durableId="1629816512">
    <w:abstractNumId w:val="2"/>
  </w:num>
  <w:num w:numId="8" w16cid:durableId="1980302413">
    <w:abstractNumId w:val="1"/>
  </w:num>
  <w:num w:numId="9" w16cid:durableId="11575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56B"/>
    <w:rsid w:val="00555967"/>
    <w:rsid w:val="00AA1D8D"/>
    <w:rsid w:val="00B47730"/>
    <w:rsid w:val="00CB0664"/>
    <w:rsid w:val="00E30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73FF3"/>
  <w14:defaultImageDpi w14:val="300"/>
  <w15:docId w15:val="{CF458CB3-A2FA-EA46-A44C-99175D0D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Bansal, Divyesh</cp:lastModifiedBy>
  <cp:revision>2</cp:revision>
  <dcterms:created xsi:type="dcterms:W3CDTF">2013-12-23T23:15:00Z</dcterms:created>
  <dcterms:modified xsi:type="dcterms:W3CDTF">2026-06-07T11:03:00Z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2026-06-07T11:03:26Z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2e5c9fcf-2817-40a9-9000-4a8257a62e56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