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9C19" w14:textId="510ADAD3" w:rsidR="00AB1A8B" w:rsidRPr="00BD4F96" w:rsidRDefault="00000000">
      <w:pPr>
        <w:pStyle w:val="Title"/>
        <w:jc w:val="center"/>
        <w:rPr>
          <w:sz w:val="36"/>
          <w:szCs w:val="36"/>
        </w:rPr>
      </w:pPr>
      <w:r w:rsidRPr="00BD4F96">
        <w:rPr>
          <w:sz w:val="36"/>
          <w:szCs w:val="36"/>
        </w:rPr>
        <w:t>Task 3 - Adversity Prediction Model</w:t>
      </w:r>
    </w:p>
    <w:p w14:paraId="4EA73A48" w14:textId="77777777" w:rsidR="00AB1A8B" w:rsidRDefault="00000000">
      <w:pPr>
        <w:jc w:val="center"/>
      </w:pPr>
      <w:r>
        <w:rPr>
          <w:noProof/>
        </w:rPr>
        <w:drawing>
          <wp:inline distT="0" distB="0" distL="0" distR="0" wp14:anchorId="388C1FF4" wp14:editId="72B2A1CA">
            <wp:extent cx="576072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_task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B5C6" w14:textId="77777777" w:rsidR="00AB1A8B" w:rsidRDefault="00000000">
      <w:pPr>
        <w:pStyle w:val="Heading2"/>
      </w:pPr>
      <w:r>
        <w:t>task3_results.csv (metrics averaged over the six horizons)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B1A8B" w14:paraId="0723FCEA" w14:textId="77777777" w:rsidTr="00AB1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1129B2" w14:textId="77777777" w:rsidR="00AB1A8B" w:rsidRDefault="00000000">
            <w:r>
              <w:t>split</w:t>
            </w:r>
          </w:p>
        </w:tc>
        <w:tc>
          <w:tcPr>
            <w:tcW w:w="1728" w:type="dxa"/>
          </w:tcPr>
          <w:p w14:paraId="1779776C" w14:textId="77777777" w:rsidR="00AB1A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728" w:type="dxa"/>
          </w:tcPr>
          <w:p w14:paraId="29E71C83" w14:textId="77777777" w:rsidR="00AB1A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728" w:type="dxa"/>
          </w:tcPr>
          <w:p w14:paraId="223DA2DC" w14:textId="77777777" w:rsidR="00AB1A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14:paraId="319DA086" w14:textId="77777777" w:rsidR="00AB1A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log_loss</w:t>
            </w:r>
          </w:p>
        </w:tc>
      </w:tr>
      <w:tr w:rsidR="00AB1A8B" w14:paraId="35311F03" w14:textId="77777777" w:rsidTr="00AB1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AA5462" w14:textId="77777777" w:rsidR="00AB1A8B" w:rsidRDefault="00000000">
            <w:r>
              <w:t>train</w:t>
            </w:r>
          </w:p>
        </w:tc>
        <w:tc>
          <w:tcPr>
            <w:tcW w:w="1728" w:type="dxa"/>
          </w:tcPr>
          <w:p w14:paraId="4373EFFE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0.5589</w:t>
            </w:r>
          </w:p>
        </w:tc>
        <w:tc>
          <w:tcPr>
            <w:tcW w:w="1728" w:type="dxa"/>
          </w:tcPr>
          <w:p w14:paraId="51CACC8C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0.4458</w:t>
            </w:r>
          </w:p>
        </w:tc>
        <w:tc>
          <w:tcPr>
            <w:tcW w:w="1728" w:type="dxa"/>
          </w:tcPr>
          <w:p w14:paraId="6C15F890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0.2661</w:t>
            </w:r>
          </w:p>
        </w:tc>
        <w:tc>
          <w:tcPr>
            <w:tcW w:w="1728" w:type="dxa"/>
          </w:tcPr>
          <w:p w14:paraId="21EDA71F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0.6845</w:t>
            </w:r>
          </w:p>
        </w:tc>
      </w:tr>
      <w:tr w:rsidR="00AB1A8B" w14:paraId="3F582DED" w14:textId="77777777" w:rsidTr="00AB1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7F8C42" w14:textId="77777777" w:rsidR="00AB1A8B" w:rsidRDefault="00000000">
            <w:r>
              <w:t>validation</w:t>
            </w:r>
          </w:p>
        </w:tc>
        <w:tc>
          <w:tcPr>
            <w:tcW w:w="1728" w:type="dxa"/>
          </w:tcPr>
          <w:p w14:paraId="10349579" w14:textId="77777777" w:rsidR="00AB1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0.5582</w:t>
            </w:r>
          </w:p>
        </w:tc>
        <w:tc>
          <w:tcPr>
            <w:tcW w:w="1728" w:type="dxa"/>
          </w:tcPr>
          <w:p w14:paraId="4C570019" w14:textId="77777777" w:rsidR="00AB1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0.4531</w:t>
            </w:r>
          </w:p>
        </w:tc>
        <w:tc>
          <w:tcPr>
            <w:tcW w:w="1728" w:type="dxa"/>
          </w:tcPr>
          <w:p w14:paraId="40ABA150" w14:textId="77777777" w:rsidR="00AB1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0.2659</w:t>
            </w:r>
          </w:p>
        </w:tc>
        <w:tc>
          <w:tcPr>
            <w:tcW w:w="1728" w:type="dxa"/>
          </w:tcPr>
          <w:p w14:paraId="135858ED" w14:textId="77777777" w:rsidR="00AB1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0.6849</w:t>
            </w:r>
          </w:p>
        </w:tc>
      </w:tr>
      <w:tr w:rsidR="00AB1A8B" w14:paraId="49AD9A34" w14:textId="77777777" w:rsidTr="00AB1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E6AEEC" w14:textId="77777777" w:rsidR="00AB1A8B" w:rsidRDefault="00000000">
            <w:r>
              <w:t>test</w:t>
            </w:r>
          </w:p>
        </w:tc>
        <w:tc>
          <w:tcPr>
            <w:tcW w:w="1728" w:type="dxa"/>
          </w:tcPr>
          <w:p w14:paraId="10D154B3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0.5594</w:t>
            </w:r>
          </w:p>
        </w:tc>
        <w:tc>
          <w:tcPr>
            <w:tcW w:w="1728" w:type="dxa"/>
          </w:tcPr>
          <w:p w14:paraId="49AB1D03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0.4478</w:t>
            </w:r>
          </w:p>
        </w:tc>
        <w:tc>
          <w:tcPr>
            <w:tcW w:w="1728" w:type="dxa"/>
          </w:tcPr>
          <w:p w14:paraId="4484C897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0.2650</w:t>
            </w:r>
          </w:p>
        </w:tc>
        <w:tc>
          <w:tcPr>
            <w:tcW w:w="1728" w:type="dxa"/>
          </w:tcPr>
          <w:p w14:paraId="35103427" w14:textId="77777777" w:rsidR="00AB1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0.6844</w:t>
            </w:r>
          </w:p>
        </w:tc>
      </w:tr>
    </w:tbl>
    <w:p w14:paraId="24019528" w14:textId="77777777" w:rsidR="00AB1A8B" w:rsidRDefault="00000000">
      <w:pPr>
        <w:pStyle w:val="Heading2"/>
      </w:pPr>
      <w:r>
        <w:t>1. Problem &amp; label</w:t>
      </w:r>
    </w:p>
    <w:p w14:paraId="6BC3F852" w14:textId="77777777" w:rsidR="00AB1A8B" w:rsidRDefault="00000000">
      <w:r>
        <w:t xml:space="preserve">A trade is adverse at horizon </w:t>
      </w:r>
      <w:r>
        <w:rPr>
          <w:rFonts w:ascii="Cambria Math" w:hAnsi="Cambria Math"/>
          <w:i/>
        </w:rPr>
        <w:t>τ</w:t>
      </w:r>
      <w:r>
        <w:t xml:space="preserve"> iff closing at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 xml:space="preserve"> = </w:t>
      </w:r>
      <w:r>
        <w:rPr>
          <w:rFonts w:ascii="Cambria Math" w:hAnsi="Cambria Math"/>
          <w:i/>
        </w:rPr>
        <w:t>τ</w:t>
      </w:r>
      <w:r>
        <w:t xml:space="preserve"> loses money for the LP: </w:t>
      </w:r>
      <w:r>
        <w:rPr>
          <w:rFonts w:ascii="Cambria Math" w:hAnsi="Cambria Math"/>
        </w:rPr>
        <w:t xml:space="preserve">side ·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· (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i/>
          <w:vertAlign w:val="subscript"/>
        </w:rPr>
        <w:t>τ</w:t>
      </w:r>
      <w:r>
        <w:rPr>
          <w:rFonts w:ascii="Cambria Math" w:hAnsi="Cambria Math"/>
        </w:rPr>
        <w:t xml:space="preserve"> -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P</w:t>
      </w:r>
      <w:r>
        <w:rPr>
          <w:rFonts w:ascii="Cambria Math" w:hAnsi="Cambria Math"/>
        </w:rPr>
        <w:t>) &lt; 0</w:t>
      </w:r>
      <w:r>
        <w:t xml:space="preserve">. Since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&gt; 0</w:t>
      </w:r>
      <w:r>
        <w:t xml:space="preserve"> only </w:t>
      </w:r>
      <w:r>
        <w:rPr>
          <w:rFonts w:ascii="Cambria Math" w:hAnsi="Cambria Math"/>
        </w:rPr>
        <w:t>sign(side · (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i/>
          <w:vertAlign w:val="subscript"/>
        </w:rPr>
        <w:t>τ</w:t>
      </w:r>
      <w:r>
        <w:rPr>
          <w:rFonts w:ascii="Cambria Math" w:hAnsi="Cambria Math"/>
        </w:rPr>
        <w:t xml:space="preserve"> -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P</w:t>
      </w:r>
      <w:r>
        <w:rPr>
          <w:rFonts w:ascii="Cambria Math" w:hAnsi="Cambria Math"/>
        </w:rPr>
        <w:t>))</w:t>
      </w:r>
      <w:r>
        <w:t xml:space="preserve"> matters. The model </w:t>
      </w:r>
      <w:r>
        <w:rPr>
          <w:rFonts w:ascii="Cambria Math" w:hAnsi="Cambria Math"/>
          <w:i/>
        </w:rPr>
        <w:t>M</w:t>
      </w:r>
      <w:r>
        <w:t xml:space="preserve"> outputs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(adverse</w:t>
      </w:r>
      <w:r>
        <w:t xml:space="preserve"> at 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)</w:t>
      </w:r>
      <w:r>
        <w:t xml:space="preserve"> for a client trade and horizon.</w:t>
      </w:r>
    </w:p>
    <w:p w14:paraId="581A44FE" w14:textId="77777777" w:rsidR="00AB1A8B" w:rsidRDefault="00000000">
      <w:pPr>
        <w:pStyle w:val="Heading2"/>
      </w:pPr>
      <w:r>
        <w:t>2. Data split</w:t>
      </w:r>
    </w:p>
    <w:p w14:paraId="02D5B100" w14:textId="77777777" w:rsidR="00AB1A8B" w:rsidRDefault="00000000">
      <w:r>
        <w:t>We split the 42 trading dates chronologically 60/20/20 (train/val/test). Splitting by date (not by row) guarantees all six horizon-rows of a trade stay in one split, so there is no leakage across splits. Adverse base rates are stable across the three splits (no regime drift), making the date split a fair out-of-sample estimate.</w:t>
      </w:r>
    </w:p>
    <w:p w14:paraId="5AF3EF9E" w14:textId="77777777" w:rsidR="00AB1A8B" w:rsidRDefault="00000000">
      <w:pPr>
        <w:pStyle w:val="Heading2"/>
      </w:pPr>
      <w:r>
        <w:t>3. No target leakage</w:t>
      </w:r>
    </w:p>
    <w:p w14:paraId="5B3C5717" w14:textId="77777777" w:rsidR="00AB1A8B" w:rsidRDefault="00000000">
      <w:r>
        <w:t xml:space="preserve">The mids 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vertAlign w:val="subscript"/>
        </w:rPr>
        <w:t>5</w:t>
      </w:r>
      <w:r>
        <w:rPr>
          <w:rFonts w:ascii="Cambria Math" w:hAnsi="Cambria Math"/>
        </w:rPr>
        <w:t>..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vertAlign w:val="subscript"/>
        </w:rPr>
        <w:t>30</w:t>
      </w:r>
      <w:r>
        <w:t xml:space="preserve"> are used only to construct the labels; they are the future and are never fed to the model. Permitted features are limited to what is known at execution time.</w:t>
      </w:r>
    </w:p>
    <w:p w14:paraId="34E60445" w14:textId="77777777" w:rsidR="00AB1A8B" w:rsidRDefault="00000000">
      <w:pPr>
        <w:pStyle w:val="Heading2"/>
      </w:pPr>
      <w:r>
        <w:lastRenderedPageBreak/>
        <w:t>4. Choice of model</w:t>
      </w:r>
    </w:p>
    <w:p w14:paraId="773E88A8" w14:textId="77777777" w:rsidR="00AB1A8B" w:rsidRDefault="00000000">
      <w:r>
        <w:t xml:space="preserve">HistGradientBoostingClassifier (gradient-boosted decision trees) - the strongest tabular learner in the available stack (no xgboost/lightgbm installed). It captures the client x </w:t>
      </w:r>
      <w:r>
        <w:rPr>
          <w:rFonts w:ascii="Cambria Math" w:hAnsi="Cambria Math"/>
          <w:i/>
        </w:rPr>
        <w:t>τ</w:t>
      </w:r>
      <w:r>
        <w:t xml:space="preserve"> interaction, outputs calibrated probabilities suitable for log-loss, and trains in seconds. I fit one model with </w:t>
      </w:r>
      <w:r>
        <w:rPr>
          <w:rFonts w:ascii="Cambria Math" w:hAnsi="Cambria Math"/>
          <w:i/>
        </w:rPr>
        <w:t>τ</w:t>
      </w:r>
      <w:r>
        <w:t xml:space="preserve"> as a feature on data stacked 6x (one row per (trade, </w:t>
      </w:r>
      <w:r>
        <w:rPr>
          <w:rFonts w:ascii="Cambria Math" w:hAnsi="Cambria Math"/>
          <w:i/>
        </w:rPr>
        <w:t>τ</w:t>
      </w:r>
      <w:r>
        <w:t xml:space="preserve">)); a single estimator serves every horizon and predict_adversity(client, </w:t>
      </w:r>
      <w:r>
        <w:rPr>
          <w:rFonts w:ascii="Cambria Math" w:hAnsi="Cambria Math"/>
          <w:i/>
        </w:rPr>
        <w:t>τ</w:t>
      </w:r>
      <w:r>
        <w:t>).</w:t>
      </w:r>
    </w:p>
    <w:p w14:paraId="350D7AB6" w14:textId="77777777" w:rsidR="00AB1A8B" w:rsidRDefault="00000000">
      <w:pPr>
        <w:pStyle w:val="Heading2"/>
      </w:pPr>
      <w:r>
        <w:t>5. Feature selection (validation-driven) and justification</w:t>
      </w:r>
    </w:p>
    <w:p w14:paraId="61295E53" w14:textId="77777777" w:rsidR="00AB1A8B" w:rsidRDefault="00000000">
      <w:r>
        <w:t xml:space="preserve">I screened every observable feature: side, volume, spread, </w:t>
      </w:r>
      <w:r>
        <w:rPr>
          <w:rFonts w:ascii="Cambria Math" w:hAnsi="Cambria Math"/>
        </w:rPr>
        <w:t xml:space="preserve">trade_price - 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vertAlign w:val="subscript"/>
        </w:rPr>
        <w:t>0</w:t>
      </w:r>
      <w:r>
        <w:t xml:space="preserve">, signed fill </w:t>
      </w:r>
      <w:r>
        <w:rPr>
          <w:rFonts w:ascii="Cambria Math" w:hAnsi="Cambria Math"/>
        </w:rPr>
        <w:t xml:space="preserve">= side · (trade_price - 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>)</w:t>
      </w:r>
      <w:r>
        <w:t xml:space="preserve">, time-of-day, client, and </w:t>
      </w:r>
      <w:r>
        <w:rPr>
          <w:rFonts w:ascii="Cambria Math" w:hAnsi="Cambria Math"/>
          <w:i/>
        </w:rPr>
        <w:t>τ</w:t>
      </w:r>
      <w:r>
        <w:t>. Conditioning the label on each feature in the training set showed:</w:t>
      </w:r>
    </w:p>
    <w:p w14:paraId="0B147790" w14:textId="77777777" w:rsidR="00AB1A8B" w:rsidRDefault="00000000">
      <w:pPr>
        <w:pStyle w:val="ListBullet"/>
      </w:pPr>
      <w:r>
        <w:t>client identity: adverse rate ranges A~0.42, B~0.43, C~0.46, D~0.51, E~0.54, F~0.62 (</w:t>
      </w:r>
      <w:r>
        <w:rPr>
          <w:rFonts w:ascii="Cambria Math" w:hAnsi="Cambria Math"/>
          <w:i/>
        </w:rPr>
        <w:t>τ</w:t>
      </w:r>
      <w:r>
        <w:t>=30).</w:t>
      </w:r>
    </w:p>
    <w:p w14:paraId="2B3B87E3" w14:textId="77777777" w:rsidR="00AB1A8B" w:rsidRDefault="00000000">
      <w:pPr>
        <w:pStyle w:val="ListBullet"/>
      </w:pPr>
      <w:r>
        <w:rPr>
          <w:rFonts w:ascii="Cambria Math" w:hAnsi="Cambria Math"/>
          <w:i/>
        </w:rPr>
        <w:t>τ</w:t>
      </w:r>
      <w:r>
        <w:t>: adverse rate rises monotonically with the horizon for every client.</w:t>
      </w:r>
    </w:p>
    <w:p w14:paraId="25D8C843" w14:textId="77777777" w:rsidR="00AB1A8B" w:rsidRDefault="00000000">
      <w:pPr>
        <w:pStyle w:val="ListBullet"/>
      </w:pPr>
      <w:r>
        <w:t>side, volume, spread, signed fill, time-of-day: essentially flat (~0.48 across all quantiles).</w:t>
      </w:r>
    </w:p>
    <w:p w14:paraId="0887800B" w14:textId="77777777" w:rsidR="00AB1A8B" w:rsidRDefault="00000000">
      <w:r>
        <w:t>Including the flat features made the trees memorise training noise: train accuracy rose to ~0.59 while test fell to ~0.55 and test log-loss rose to ~0.686, worse than a trivial client base-rate. So I keep only the features that generalize: a one-hot client encoding and tau. This is honest, robust feature selection.</w:t>
      </w:r>
    </w:p>
    <w:p w14:paraId="5147E755" w14:textId="77777777" w:rsidR="00AB1A8B" w:rsidRDefault="00000000">
      <w:pPr>
        <w:pStyle w:val="Heading2"/>
      </w:pPr>
      <w:r>
        <w:t>6. Feature vector ordering (documented)</w:t>
      </w:r>
    </w:p>
    <w:p w14:paraId="4E8290B4" w14:textId="77777777" w:rsidR="00AB1A8B" w:rsidRDefault="00000000">
      <w:pPr>
        <w:pStyle w:val="ListBullet"/>
      </w:pPr>
      <w:r>
        <w:t xml:space="preserve">index 0 : </w:t>
      </w:r>
      <w:r>
        <w:rPr>
          <w:rFonts w:ascii="Cambria Math" w:hAnsi="Cambria Math"/>
          <w:i/>
        </w:rPr>
        <w:t>τ</w:t>
      </w:r>
      <w:r>
        <w:t xml:space="preserve">          (horizon in seconds: 5,10,15,20,25,30)</w:t>
      </w:r>
    </w:p>
    <w:p w14:paraId="01F627A8" w14:textId="77777777" w:rsidR="00AB1A8B" w:rsidRDefault="00000000">
      <w:pPr>
        <w:pStyle w:val="ListBullet"/>
      </w:pPr>
      <w:r>
        <w:t>index 1 : client_A     (one-hot)</w:t>
      </w:r>
    </w:p>
    <w:p w14:paraId="5B5BF879" w14:textId="77777777" w:rsidR="00AB1A8B" w:rsidRDefault="00000000">
      <w:pPr>
        <w:pStyle w:val="ListBullet"/>
      </w:pPr>
      <w:r>
        <w:t>index 2 : client_B</w:t>
      </w:r>
    </w:p>
    <w:p w14:paraId="72582CBF" w14:textId="77777777" w:rsidR="00AB1A8B" w:rsidRDefault="00000000">
      <w:pPr>
        <w:pStyle w:val="ListBullet"/>
      </w:pPr>
      <w:r>
        <w:t>index 3 : client_C</w:t>
      </w:r>
    </w:p>
    <w:p w14:paraId="3BB996B8" w14:textId="77777777" w:rsidR="00AB1A8B" w:rsidRDefault="00000000">
      <w:pPr>
        <w:pStyle w:val="ListBullet"/>
      </w:pPr>
      <w:r>
        <w:t>index 4 : client_D</w:t>
      </w:r>
    </w:p>
    <w:p w14:paraId="59D7E9EF" w14:textId="77777777" w:rsidR="00AB1A8B" w:rsidRDefault="00000000">
      <w:pPr>
        <w:pStyle w:val="ListBullet"/>
      </w:pPr>
      <w:r>
        <w:t>index 5 : client_E</w:t>
      </w:r>
    </w:p>
    <w:p w14:paraId="4B364E8A" w14:textId="77777777" w:rsidR="00AB1A8B" w:rsidRDefault="00000000">
      <w:pPr>
        <w:pStyle w:val="ListBullet"/>
      </w:pPr>
      <w:r>
        <w:t>index 6 : client_F</w:t>
      </w:r>
    </w:p>
    <w:p w14:paraId="7D6FE05E" w14:textId="77777777" w:rsidR="00AB1A8B" w:rsidRDefault="00000000">
      <w:r>
        <w:t xml:space="preserve">predict_adversity accepts either keyword fields (client, </w:t>
      </w:r>
      <w:r>
        <w:rPr>
          <w:rFonts w:ascii="Cambria Math" w:hAnsi="Cambria Math"/>
          <w:i/>
        </w:rPr>
        <w:t>τ</w:t>
      </w:r>
      <w:r>
        <w:t>; extra trade fields accepted and ignored) or a length-7 feature vector in exactly this order.</w:t>
      </w:r>
    </w:p>
    <w:p w14:paraId="47FF66FE" w14:textId="77777777" w:rsidR="00AB1A8B" w:rsidRDefault="00000000">
      <w:pPr>
        <w:pStyle w:val="Heading2"/>
      </w:pPr>
      <w:r>
        <w:t>7. Results &amp; robustness</w:t>
      </w:r>
    </w:p>
    <w:p w14:paraId="2C1EE6E1" w14:textId="77777777" w:rsidR="00AB1A8B" w:rsidRDefault="00000000">
      <w:r>
        <w:t xml:space="preserve">Train, validation and test agree to within ~0.001, confirming the model generalizes and does not overfit. The intrinsic ceiling is modest: the mid moves are near-symmetric noise around each client's drift, so adversity is only weakly predictable - exactly what the flat-feature analysis predicts. The predicted probabilities reproduce the Task-1 adversity profiles (A lowest, F highest, rising with </w:t>
      </w:r>
      <w:r>
        <w:rPr>
          <w:rFonts w:ascii="Cambria Math" w:hAnsi="Cambria Math"/>
          <w:i/>
        </w:rPr>
        <w:t>τ</w:t>
      </w:r>
      <w:r>
        <w:t xml:space="preserve">), an independent consistency check. The model feeds the externalization rule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&gt; </w:t>
      </w:r>
      <w:r>
        <w:rPr>
          <w:rFonts w:ascii="Cambria Math" w:hAnsi="Cambria Math"/>
          <w:i/>
        </w:rPr>
        <w:t>θ</w:t>
      </w:r>
      <w:r>
        <w:t xml:space="preserve"> directly.</w:t>
      </w:r>
    </w:p>
    <w:sectPr w:rsidR="00AB1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047815">
    <w:abstractNumId w:val="8"/>
  </w:num>
  <w:num w:numId="2" w16cid:durableId="832143133">
    <w:abstractNumId w:val="6"/>
  </w:num>
  <w:num w:numId="3" w16cid:durableId="255217453">
    <w:abstractNumId w:val="5"/>
  </w:num>
  <w:num w:numId="4" w16cid:durableId="978072864">
    <w:abstractNumId w:val="4"/>
  </w:num>
  <w:num w:numId="5" w16cid:durableId="1854373692">
    <w:abstractNumId w:val="7"/>
  </w:num>
  <w:num w:numId="6" w16cid:durableId="443573181">
    <w:abstractNumId w:val="3"/>
  </w:num>
  <w:num w:numId="7" w16cid:durableId="259148755">
    <w:abstractNumId w:val="2"/>
  </w:num>
  <w:num w:numId="8" w16cid:durableId="1590115777">
    <w:abstractNumId w:val="1"/>
  </w:num>
  <w:num w:numId="9" w16cid:durableId="52410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967"/>
    <w:rsid w:val="00AA1D8D"/>
    <w:rsid w:val="00AB1A8B"/>
    <w:rsid w:val="00B47730"/>
    <w:rsid w:val="00BD4F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D2F8E"/>
  <w14:defaultImageDpi w14:val="300"/>
  <w15:docId w15:val="{CF458CB3-A2FA-EA46-A44C-99175D0D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Bansal, Divyesh</cp:lastModifiedBy>
  <cp:revision>2</cp:revision>
  <dcterms:created xsi:type="dcterms:W3CDTF">2013-12-23T23:15:00Z</dcterms:created>
  <dcterms:modified xsi:type="dcterms:W3CDTF">2026-06-07T11:07:00Z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2026-06-07T11:07:01Z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da46b3e2-758f-4698-9d02-93af179d95fc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