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6428" w14:textId="42FDACFE" w:rsidR="00C923E6" w:rsidRPr="000B1E3A" w:rsidRDefault="00000000">
      <w:pPr>
        <w:pStyle w:val="Title"/>
        <w:jc w:val="center"/>
        <w:rPr>
          <w:sz w:val="36"/>
          <w:szCs w:val="36"/>
        </w:rPr>
      </w:pPr>
      <w:r w:rsidRPr="000B1E3A">
        <w:rPr>
          <w:sz w:val="36"/>
          <w:szCs w:val="36"/>
        </w:rPr>
        <w:t>Task 4 - Optimal Externalization Threshold</w:t>
      </w:r>
    </w:p>
    <w:p w14:paraId="1A563178" w14:textId="77777777" w:rsidR="00C923E6" w:rsidRDefault="00000000">
      <w:pPr>
        <w:pStyle w:val="Heading2"/>
      </w:pPr>
      <w:r>
        <w:t>1. Strategy &amp; PnL</w:t>
      </w:r>
    </w:p>
    <w:p w14:paraId="77B48163" w14:textId="77777777" w:rsidR="00C923E6" w:rsidRDefault="00000000">
      <w:r>
        <w:t xml:space="preserve">For horizon </w:t>
      </w:r>
      <w:r>
        <w:rPr>
          <w:rFonts w:ascii="Cambria Math" w:hAnsi="Cambria Math"/>
          <w:i/>
        </w:rPr>
        <w:t>τ</w:t>
      </w:r>
      <w:r>
        <w:t xml:space="preserve"> every trade is closed at </w:t>
      </w:r>
      <w:r>
        <w:rPr>
          <w:rFonts w:ascii="Cambria Math" w:hAnsi="Cambria Math"/>
          <w:i/>
        </w:rPr>
        <w:t>t</w:t>
      </w:r>
      <w:r>
        <w:rPr>
          <w:rFonts w:ascii="Cambria Math" w:hAnsi="Cambria Math"/>
        </w:rPr>
        <w:t xml:space="preserve"> = </w:t>
      </w:r>
      <w:r>
        <w:rPr>
          <w:rFonts w:ascii="Cambria Math" w:hAnsi="Cambria Math"/>
          <w:i/>
        </w:rPr>
        <w:t>τ</w:t>
      </w:r>
      <w:r>
        <w:t xml:space="preserve"> with internalized PnL </w:t>
      </w:r>
      <w:r>
        <w:rPr>
          <w:rFonts w:ascii="Cambria Math" w:hAnsi="Cambria Math"/>
        </w:rPr>
        <w:t>pnl</w:t>
      </w:r>
      <w:r>
        <w:rPr>
          <w:rFonts w:ascii="Cambria Math" w:hAnsi="Cambria Math"/>
          <w:i/>
          <w:vertAlign w:val="subscript"/>
        </w:rPr>
        <w:t>i</w:t>
      </w:r>
      <w:r>
        <w:rPr>
          <w:rFonts w:ascii="Cambria Math" w:hAnsi="Cambria Math"/>
        </w:rPr>
        <w:t xml:space="preserve"> = side</w:t>
      </w:r>
      <w:r>
        <w:rPr>
          <w:rFonts w:ascii="Cambria Math" w:hAnsi="Cambria Math"/>
          <w:i/>
          <w:vertAlign w:val="subscript"/>
        </w:rPr>
        <w:t>i</w:t>
      </w:r>
      <w:r>
        <w:rPr>
          <w:rFonts w:ascii="Cambria Math" w:hAnsi="Cambria Math"/>
        </w:rPr>
        <w:t xml:space="preserve"> · </w:t>
      </w:r>
      <w:r>
        <w:rPr>
          <w:rFonts w:ascii="Cambria Math" w:hAnsi="Cambria Math"/>
          <w:i/>
        </w:rPr>
        <w:t>V</w:t>
      </w:r>
      <w:r>
        <w:rPr>
          <w:rFonts w:ascii="Cambria Math" w:hAnsi="Cambria Math"/>
          <w:i/>
          <w:vertAlign w:val="subscript"/>
        </w:rPr>
        <w:t>i</w:t>
      </w:r>
      <w:r>
        <w:rPr>
          <w:rFonts w:ascii="Cambria Math" w:hAnsi="Cambria Math"/>
        </w:rPr>
        <w:t xml:space="preserve"> · (</w:t>
      </w:r>
      <w:r>
        <w:rPr>
          <w:rFonts w:ascii="Cambria Math" w:hAnsi="Cambria Math"/>
          <w:i/>
        </w:rPr>
        <w:t>M</w:t>
      </w:r>
      <w:r>
        <w:rPr>
          <w:rFonts w:ascii="Cambria Math" w:hAnsi="Cambria Math"/>
          <w:i/>
          <w:vertAlign w:val="subscript"/>
        </w:rPr>
        <w:t>τ</w:t>
      </w:r>
      <w:r>
        <w:rPr>
          <w:rFonts w:ascii="Cambria Math" w:hAnsi="Cambria Math"/>
          <w:vertAlign w:val="subscript"/>
        </w:rPr>
        <w:t>,</w:t>
      </w:r>
      <w:r>
        <w:rPr>
          <w:rFonts w:ascii="Cambria Math" w:hAnsi="Cambria Math"/>
          <w:i/>
          <w:vertAlign w:val="subscript"/>
        </w:rPr>
        <w:t>i</w:t>
      </w:r>
      <w:r>
        <w:rPr>
          <w:rFonts w:ascii="Cambria Math" w:hAnsi="Cambria Math"/>
        </w:rPr>
        <w:t xml:space="preserve"> - </w:t>
      </w:r>
      <w:r>
        <w:rPr>
          <w:rFonts w:ascii="Cambria Math" w:hAnsi="Cambria Math"/>
          <w:i/>
        </w:rPr>
        <w:t>T</w:t>
      </w:r>
      <w:r>
        <w:rPr>
          <w:rFonts w:ascii="Cambria Math" w:hAnsi="Cambria Math"/>
          <w:i/>
          <w:vertAlign w:val="subscript"/>
        </w:rPr>
        <w:t>P</w:t>
      </w:r>
      <w:r>
        <w:rPr>
          <w:rFonts w:ascii="Cambria Math" w:hAnsi="Cambria Math"/>
          <w:vertAlign w:val="subscript"/>
        </w:rPr>
        <w:t>,</w:t>
      </w:r>
      <w:r>
        <w:rPr>
          <w:rFonts w:ascii="Cambria Math" w:hAnsi="Cambria Math"/>
          <w:i/>
          <w:vertAlign w:val="subscript"/>
        </w:rPr>
        <w:t>i</w:t>
      </w:r>
      <w:r>
        <w:rPr>
          <w:rFonts w:ascii="Cambria Math" w:hAnsi="Cambria Math"/>
        </w:rPr>
        <w:t>)</w:t>
      </w:r>
      <w:r>
        <w:t xml:space="preserve">. Using the Task-3 model we get </w:t>
      </w:r>
      <w:r>
        <w:rPr>
          <w:rFonts w:ascii="Cambria Math" w:hAnsi="Cambria Math"/>
          <w:i/>
        </w:rPr>
        <w:t>p</w:t>
      </w:r>
      <w:r>
        <w:rPr>
          <w:rFonts w:ascii="Cambria Math" w:hAnsi="Cambria Math"/>
          <w:i/>
          <w:vertAlign w:val="subscript"/>
        </w:rPr>
        <w:t>i</w:t>
      </w:r>
      <w:r>
        <w:rPr>
          <w:rFonts w:ascii="Cambria Math" w:hAnsi="Cambria Math"/>
        </w:rPr>
        <w:t xml:space="preserve"> = </w:t>
      </w:r>
      <w:r>
        <w:rPr>
          <w:rFonts w:ascii="Cambria Math" w:hAnsi="Cambria Math"/>
          <w:i/>
        </w:rPr>
        <w:t>P</w:t>
      </w:r>
      <w:r>
        <w:rPr>
          <w:rFonts w:ascii="Cambria Math" w:hAnsi="Cambria Math"/>
        </w:rPr>
        <w:t>(adverse)</w:t>
      </w:r>
      <w:r>
        <w:t xml:space="preserve">. We externalize iff </w:t>
      </w:r>
      <w:r>
        <w:rPr>
          <w:rFonts w:ascii="Cambria Math" w:hAnsi="Cambria Math"/>
          <w:i/>
        </w:rPr>
        <w:t>p</w:t>
      </w:r>
      <w:r>
        <w:rPr>
          <w:rFonts w:ascii="Cambria Math" w:hAnsi="Cambria Math"/>
          <w:i/>
          <w:vertAlign w:val="subscript"/>
        </w:rPr>
        <w:t>i</w:t>
      </w:r>
      <w:r>
        <w:rPr>
          <w:rFonts w:ascii="Cambria Math" w:hAnsi="Cambria Math"/>
        </w:rPr>
        <w:t xml:space="preserve"> &gt; </w:t>
      </w:r>
      <w:r>
        <w:rPr>
          <w:rFonts w:ascii="Cambria Math" w:hAnsi="Cambria Math"/>
          <w:i/>
        </w:rPr>
        <w:t>θ</w:t>
      </w:r>
      <w:r>
        <w:t xml:space="preserve">; an externalized trade nets to zero for us, so </w:t>
      </w:r>
      <w:r>
        <w:rPr>
          <w:rFonts w:ascii="Cambria Math" w:hAnsi="Cambria Math"/>
        </w:rPr>
        <w:t>PnL(</w:t>
      </w:r>
      <w:r>
        <w:rPr>
          <w:rFonts w:ascii="Cambria Math" w:hAnsi="Cambria Math"/>
          <w:i/>
        </w:rPr>
        <w:t>θ</w:t>
      </w:r>
      <w:r>
        <w:rPr>
          <w:rFonts w:ascii="Cambria Math" w:hAnsi="Cambria Math"/>
        </w:rPr>
        <w:t xml:space="preserve">) = </w:t>
      </w:r>
      <w:r>
        <w:rPr>
          <w:rFonts w:ascii="Cambria Math" w:hAnsi="Cambria Math"/>
          <w:i/>
        </w:rPr>
        <w:t>Σ</w:t>
      </w:r>
      <w:r>
        <w:rPr>
          <w:rFonts w:ascii="Cambria Math" w:hAnsi="Cambria Math"/>
          <w:i/>
          <w:vertAlign w:val="subscript"/>
        </w:rPr>
        <w:t>i</w:t>
      </w:r>
      <w:r>
        <w:rPr>
          <w:rFonts w:ascii="Cambria Math" w:hAnsi="Cambria Math"/>
          <w:vertAlign w:val="subscript"/>
        </w:rPr>
        <w:t xml:space="preserve"> : </w:t>
      </w:r>
      <w:r>
        <w:rPr>
          <w:rFonts w:ascii="Cambria Math" w:hAnsi="Cambria Math"/>
          <w:i/>
          <w:vertAlign w:val="subscript"/>
        </w:rPr>
        <w:t>p</w:t>
      </w:r>
      <w:r>
        <w:rPr>
          <w:rFonts w:ascii="Cambria Math" w:hAnsi="Cambria Math"/>
          <w:vertAlign w:val="subscript"/>
        </w:rPr>
        <w:t>_</w:t>
      </w:r>
      <w:r>
        <w:rPr>
          <w:rFonts w:ascii="Cambria Math" w:hAnsi="Cambria Math"/>
          <w:i/>
          <w:vertAlign w:val="subscript"/>
        </w:rPr>
        <w:t>i</w:t>
      </w:r>
      <w:r>
        <w:rPr>
          <w:rFonts w:ascii="Cambria Math" w:hAnsi="Cambria Math"/>
          <w:vertAlign w:val="subscript"/>
        </w:rPr>
        <w:t xml:space="preserve"> ≤ </w:t>
      </w:r>
      <w:r>
        <w:rPr>
          <w:rFonts w:ascii="Cambria Math" w:hAnsi="Cambria Math"/>
          <w:i/>
          <w:vertAlign w:val="subscript"/>
        </w:rPr>
        <w:t>θ</w:t>
      </w:r>
      <w:r>
        <w:rPr>
          <w:rFonts w:ascii="Cambria Math" w:hAnsi="Cambria Math"/>
        </w:rPr>
        <w:t xml:space="preserve"> pnl</w:t>
      </w:r>
      <w:r>
        <w:rPr>
          <w:rFonts w:ascii="Cambria Math" w:hAnsi="Cambria Math"/>
          <w:i/>
          <w:vertAlign w:val="subscript"/>
        </w:rPr>
        <w:t>i</w:t>
      </w:r>
      <w:r>
        <w:t xml:space="preserve"> (eq. 8). I sweep </w:t>
      </w:r>
      <w:r>
        <w:rPr>
          <w:rFonts w:ascii="Cambria Math" w:hAnsi="Cambria Math"/>
          <w:i/>
        </w:rPr>
        <w:t>θ</w:t>
      </w:r>
      <w:r>
        <w:rPr>
          <w:rFonts w:ascii="Cambria Math" w:hAnsi="Cambria Math"/>
        </w:rPr>
        <w:t xml:space="preserve"> ∈ [0,1]</w:t>
      </w:r>
      <w:r>
        <w:t xml:space="preserve"> (2001 points), choose </w:t>
      </w:r>
      <w:r>
        <w:rPr>
          <w:rFonts w:ascii="Cambria Math" w:hAnsi="Cambria Math"/>
          <w:i/>
        </w:rPr>
        <w:t>θ</w:t>
      </w:r>
      <w:r>
        <w:rPr>
          <w:rFonts w:ascii="Cambria Math" w:hAnsi="Cambria Math"/>
          <w:vertAlign w:val="superscript"/>
        </w:rPr>
        <w:t>*</w:t>
      </w:r>
      <w:r>
        <w:t xml:space="preserve"> maximizing validation PnL, and report held-out test PnL at </w:t>
      </w:r>
      <w:r>
        <w:rPr>
          <w:rFonts w:ascii="Cambria Math" w:hAnsi="Cambria Math"/>
          <w:i/>
        </w:rPr>
        <w:t>θ</w:t>
      </w:r>
      <w:r>
        <w:rPr>
          <w:rFonts w:ascii="Cambria Math" w:hAnsi="Cambria Math"/>
          <w:vertAlign w:val="superscript"/>
        </w:rPr>
        <w:t>*</w:t>
      </w:r>
      <w:r>
        <w:t>. Split is the same date-based 60/20/20 as Task 3.</w:t>
      </w:r>
    </w:p>
    <w:p w14:paraId="62D4A707" w14:textId="77777777" w:rsidR="00C923E6" w:rsidRDefault="00000000">
      <w:pPr>
        <w:jc w:val="center"/>
      </w:pPr>
      <w:r>
        <w:rPr>
          <w:noProof/>
        </w:rPr>
        <w:drawing>
          <wp:inline distT="0" distB="0" distL="0" distR="0" wp14:anchorId="666DA72A" wp14:editId="17B2D1D3">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l_vs_theta.png"/>
                    <pic:cNvPicPr/>
                  </pic:nvPicPr>
                  <pic:blipFill>
                    <a:blip r:embed="rId6"/>
                    <a:stretch>
                      <a:fillRect/>
                    </a:stretch>
                  </pic:blipFill>
                  <pic:spPr>
                    <a:xfrm>
                      <a:off x="0" y="0"/>
                      <a:ext cx="5760720" cy="3600450"/>
                    </a:xfrm>
                    <a:prstGeom prst="rect">
                      <a:avLst/>
                    </a:prstGeom>
                  </pic:spPr>
                </pic:pic>
              </a:graphicData>
            </a:graphic>
          </wp:inline>
        </w:drawing>
      </w:r>
    </w:p>
    <w:p w14:paraId="13189F52" w14:textId="77777777" w:rsidR="00C923E6" w:rsidRDefault="00000000">
      <w:pPr>
        <w:pStyle w:val="Heading2"/>
      </w:pPr>
      <w:r>
        <w:t>Optimal thresholds and PnL (global)</w:t>
      </w:r>
    </w:p>
    <w:tbl>
      <w:tblPr>
        <w:tblStyle w:val="LightGrid-Accent1"/>
        <w:tblW w:w="0" w:type="auto"/>
        <w:tblLook w:val="04A0" w:firstRow="1" w:lastRow="0" w:firstColumn="1" w:lastColumn="0" w:noHBand="0" w:noVBand="1"/>
      </w:tblPr>
      <w:tblGrid>
        <w:gridCol w:w="2160"/>
        <w:gridCol w:w="2160"/>
        <w:gridCol w:w="2160"/>
        <w:gridCol w:w="2160"/>
      </w:tblGrid>
      <w:tr w:rsidR="00C923E6" w14:paraId="62C72154" w14:textId="77777777" w:rsidTr="00C92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A4D638" w14:textId="77777777" w:rsidR="00C923E6" w:rsidRDefault="00000000">
            <w:r>
              <w:rPr>
                <w:rFonts w:ascii="Cambria Math" w:hAnsi="Cambria Math"/>
                <w:i/>
              </w:rPr>
              <w:t>τ</w:t>
            </w:r>
          </w:p>
        </w:tc>
        <w:tc>
          <w:tcPr>
            <w:tcW w:w="2160" w:type="dxa"/>
          </w:tcPr>
          <w:p w14:paraId="78BAFC7B" w14:textId="77777777" w:rsidR="00C923E6" w:rsidRDefault="00000000">
            <w:pPr>
              <w:cnfStyle w:val="100000000000" w:firstRow="1" w:lastRow="0" w:firstColumn="0" w:lastColumn="0" w:oddVBand="0" w:evenVBand="0" w:oddHBand="0" w:evenHBand="0" w:firstRowFirstColumn="0" w:firstRowLastColumn="0" w:lastRowFirstColumn="0" w:lastRowLastColumn="0"/>
            </w:pPr>
            <w:r>
              <w:t xml:space="preserve">global </w:t>
            </w:r>
            <w:r>
              <w:rPr>
                <w:rFonts w:ascii="Cambria Math" w:hAnsi="Cambria Math"/>
                <w:i/>
              </w:rPr>
              <w:t>θ</w:t>
            </w:r>
            <w:r>
              <w:rPr>
                <w:rFonts w:ascii="Cambria Math" w:hAnsi="Cambria Math"/>
                <w:vertAlign w:val="superscript"/>
              </w:rPr>
              <w:t>*</w:t>
            </w:r>
          </w:p>
        </w:tc>
        <w:tc>
          <w:tcPr>
            <w:tcW w:w="2160" w:type="dxa"/>
          </w:tcPr>
          <w:p w14:paraId="3874E83B" w14:textId="77777777" w:rsidR="00C923E6" w:rsidRDefault="00000000">
            <w:pPr>
              <w:cnfStyle w:val="100000000000" w:firstRow="1" w:lastRow="0" w:firstColumn="0" w:lastColumn="0" w:oddVBand="0" w:evenVBand="0" w:oddHBand="0" w:evenHBand="0" w:firstRowFirstColumn="0" w:firstRowLastColumn="0" w:lastRowFirstColumn="0" w:lastRowLastColumn="0"/>
            </w:pPr>
            <w:r>
              <w:t>val PnL</w:t>
            </w:r>
          </w:p>
        </w:tc>
        <w:tc>
          <w:tcPr>
            <w:tcW w:w="2160" w:type="dxa"/>
          </w:tcPr>
          <w:p w14:paraId="77FDE856" w14:textId="77777777" w:rsidR="00C923E6" w:rsidRDefault="00000000">
            <w:pPr>
              <w:cnfStyle w:val="100000000000" w:firstRow="1" w:lastRow="0" w:firstColumn="0" w:lastColumn="0" w:oddVBand="0" w:evenVBand="0" w:oddHBand="0" w:evenHBand="0" w:firstRowFirstColumn="0" w:firstRowLastColumn="0" w:lastRowFirstColumn="0" w:lastRowLastColumn="0"/>
            </w:pPr>
            <w:r>
              <w:t>test PnL</w:t>
            </w:r>
          </w:p>
        </w:tc>
      </w:tr>
      <w:tr w:rsidR="00C923E6" w14:paraId="5F387D0B" w14:textId="77777777" w:rsidTr="00C9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56778C" w14:textId="77777777" w:rsidR="00C923E6" w:rsidRDefault="00000000">
            <w:r>
              <w:t>5</w:t>
            </w:r>
          </w:p>
        </w:tc>
        <w:tc>
          <w:tcPr>
            <w:tcW w:w="2160" w:type="dxa"/>
          </w:tcPr>
          <w:p w14:paraId="6C34FC24" w14:textId="77777777" w:rsidR="00C923E6" w:rsidRDefault="00000000">
            <w:pPr>
              <w:cnfStyle w:val="000000100000" w:firstRow="0" w:lastRow="0" w:firstColumn="0" w:lastColumn="0" w:oddVBand="0" w:evenVBand="0" w:oddHBand="1" w:evenHBand="0" w:firstRowFirstColumn="0" w:firstRowLastColumn="0" w:lastRowFirstColumn="0" w:lastRowLastColumn="0"/>
            </w:pPr>
            <w:r>
              <w:t>0.736</w:t>
            </w:r>
          </w:p>
        </w:tc>
        <w:tc>
          <w:tcPr>
            <w:tcW w:w="2160" w:type="dxa"/>
          </w:tcPr>
          <w:p w14:paraId="47B9D974" w14:textId="77777777" w:rsidR="00C923E6" w:rsidRDefault="00000000">
            <w:pPr>
              <w:cnfStyle w:val="000000100000" w:firstRow="0" w:lastRow="0" w:firstColumn="0" w:lastColumn="0" w:oddVBand="0" w:evenVBand="0" w:oddHBand="1" w:evenHBand="0" w:firstRowFirstColumn="0" w:firstRowLastColumn="0" w:lastRowFirstColumn="0" w:lastRowLastColumn="0"/>
            </w:pPr>
            <w:r>
              <w:t>33084</w:t>
            </w:r>
          </w:p>
        </w:tc>
        <w:tc>
          <w:tcPr>
            <w:tcW w:w="2160" w:type="dxa"/>
          </w:tcPr>
          <w:p w14:paraId="3FD81207" w14:textId="77777777" w:rsidR="00C923E6" w:rsidRDefault="00000000">
            <w:pPr>
              <w:cnfStyle w:val="000000100000" w:firstRow="0" w:lastRow="0" w:firstColumn="0" w:lastColumn="0" w:oddVBand="0" w:evenVBand="0" w:oddHBand="1" w:evenHBand="0" w:firstRowFirstColumn="0" w:firstRowLastColumn="0" w:lastRowFirstColumn="0" w:lastRowLastColumn="0"/>
            </w:pPr>
            <w:r>
              <w:t>39917</w:t>
            </w:r>
          </w:p>
        </w:tc>
      </w:tr>
      <w:tr w:rsidR="00C923E6" w14:paraId="074222EC" w14:textId="77777777" w:rsidTr="00C923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21FB6C" w14:textId="77777777" w:rsidR="00C923E6" w:rsidRDefault="00000000">
            <w:r>
              <w:t>10</w:t>
            </w:r>
          </w:p>
        </w:tc>
        <w:tc>
          <w:tcPr>
            <w:tcW w:w="2160" w:type="dxa"/>
          </w:tcPr>
          <w:p w14:paraId="53B70B57" w14:textId="77777777" w:rsidR="00C923E6" w:rsidRDefault="00000000">
            <w:pPr>
              <w:cnfStyle w:val="000000010000" w:firstRow="0" w:lastRow="0" w:firstColumn="0" w:lastColumn="0" w:oddVBand="0" w:evenVBand="0" w:oddHBand="0" w:evenHBand="1" w:firstRowFirstColumn="0" w:firstRowLastColumn="0" w:lastRowFirstColumn="0" w:lastRowLastColumn="0"/>
            </w:pPr>
            <w:r>
              <w:t>0.473</w:t>
            </w:r>
          </w:p>
        </w:tc>
        <w:tc>
          <w:tcPr>
            <w:tcW w:w="2160" w:type="dxa"/>
          </w:tcPr>
          <w:p w14:paraId="303AEFC8" w14:textId="77777777" w:rsidR="00C923E6" w:rsidRDefault="00000000">
            <w:pPr>
              <w:cnfStyle w:val="000000010000" w:firstRow="0" w:lastRow="0" w:firstColumn="0" w:lastColumn="0" w:oddVBand="0" w:evenVBand="0" w:oddHBand="0" w:evenHBand="1" w:firstRowFirstColumn="0" w:firstRowLastColumn="0" w:lastRowFirstColumn="0" w:lastRowLastColumn="0"/>
            </w:pPr>
            <w:r>
              <w:t>32934</w:t>
            </w:r>
          </w:p>
        </w:tc>
        <w:tc>
          <w:tcPr>
            <w:tcW w:w="2160" w:type="dxa"/>
          </w:tcPr>
          <w:p w14:paraId="600DAA10" w14:textId="77777777" w:rsidR="00C923E6" w:rsidRDefault="00000000">
            <w:pPr>
              <w:cnfStyle w:val="000000010000" w:firstRow="0" w:lastRow="0" w:firstColumn="0" w:lastColumn="0" w:oddVBand="0" w:evenVBand="0" w:oddHBand="0" w:evenHBand="1" w:firstRowFirstColumn="0" w:firstRowLastColumn="0" w:lastRowFirstColumn="0" w:lastRowLastColumn="0"/>
            </w:pPr>
            <w:r>
              <w:t>37133</w:t>
            </w:r>
          </w:p>
        </w:tc>
      </w:tr>
      <w:tr w:rsidR="00C923E6" w14:paraId="268C2B26" w14:textId="77777777" w:rsidTr="00C9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427BEC" w14:textId="77777777" w:rsidR="00C923E6" w:rsidRDefault="00000000">
            <w:r>
              <w:t>15</w:t>
            </w:r>
          </w:p>
        </w:tc>
        <w:tc>
          <w:tcPr>
            <w:tcW w:w="2160" w:type="dxa"/>
          </w:tcPr>
          <w:p w14:paraId="0498CB74" w14:textId="77777777" w:rsidR="00C923E6" w:rsidRDefault="00000000">
            <w:pPr>
              <w:cnfStyle w:val="000000100000" w:firstRow="0" w:lastRow="0" w:firstColumn="0" w:lastColumn="0" w:oddVBand="0" w:evenVBand="0" w:oddHBand="1" w:evenHBand="0" w:firstRowFirstColumn="0" w:firstRowLastColumn="0" w:lastRowFirstColumn="0" w:lastRowLastColumn="0"/>
            </w:pPr>
            <w:r>
              <w:t>0.494</w:t>
            </w:r>
          </w:p>
        </w:tc>
        <w:tc>
          <w:tcPr>
            <w:tcW w:w="2160" w:type="dxa"/>
          </w:tcPr>
          <w:p w14:paraId="74C1D5E3" w14:textId="77777777" w:rsidR="00C923E6" w:rsidRDefault="00000000">
            <w:pPr>
              <w:cnfStyle w:val="000000100000" w:firstRow="0" w:lastRow="0" w:firstColumn="0" w:lastColumn="0" w:oddVBand="0" w:evenVBand="0" w:oddHBand="1" w:evenHBand="0" w:firstRowFirstColumn="0" w:firstRowLastColumn="0" w:lastRowFirstColumn="0" w:lastRowLastColumn="0"/>
            </w:pPr>
            <w:r>
              <w:t>32735</w:t>
            </w:r>
          </w:p>
        </w:tc>
        <w:tc>
          <w:tcPr>
            <w:tcW w:w="2160" w:type="dxa"/>
          </w:tcPr>
          <w:p w14:paraId="4B3760DF" w14:textId="77777777" w:rsidR="00C923E6" w:rsidRDefault="00000000">
            <w:pPr>
              <w:cnfStyle w:val="000000100000" w:firstRow="0" w:lastRow="0" w:firstColumn="0" w:lastColumn="0" w:oddVBand="0" w:evenVBand="0" w:oddHBand="1" w:evenHBand="0" w:firstRowFirstColumn="0" w:firstRowLastColumn="0" w:lastRowFirstColumn="0" w:lastRowLastColumn="0"/>
            </w:pPr>
            <w:r>
              <w:t>38297</w:t>
            </w:r>
          </w:p>
        </w:tc>
      </w:tr>
      <w:tr w:rsidR="00C923E6" w14:paraId="1FE42A6F" w14:textId="77777777" w:rsidTr="00C923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600600" w14:textId="77777777" w:rsidR="00C923E6" w:rsidRDefault="00000000">
            <w:r>
              <w:t>20</w:t>
            </w:r>
          </w:p>
        </w:tc>
        <w:tc>
          <w:tcPr>
            <w:tcW w:w="2160" w:type="dxa"/>
          </w:tcPr>
          <w:p w14:paraId="00D32CDC" w14:textId="77777777" w:rsidR="00C923E6" w:rsidRDefault="00000000">
            <w:pPr>
              <w:cnfStyle w:val="000000010000" w:firstRow="0" w:lastRow="0" w:firstColumn="0" w:lastColumn="0" w:oddVBand="0" w:evenVBand="0" w:oddHBand="0" w:evenHBand="1" w:firstRowFirstColumn="0" w:firstRowLastColumn="0" w:lastRowFirstColumn="0" w:lastRowLastColumn="0"/>
            </w:pPr>
            <w:r>
              <w:t>0.505</w:t>
            </w:r>
          </w:p>
        </w:tc>
        <w:tc>
          <w:tcPr>
            <w:tcW w:w="2160" w:type="dxa"/>
          </w:tcPr>
          <w:p w14:paraId="406C94E4" w14:textId="77777777" w:rsidR="00C923E6" w:rsidRDefault="00000000">
            <w:pPr>
              <w:cnfStyle w:val="000000010000" w:firstRow="0" w:lastRow="0" w:firstColumn="0" w:lastColumn="0" w:oddVBand="0" w:evenVBand="0" w:oddHBand="0" w:evenHBand="1" w:firstRowFirstColumn="0" w:firstRowLastColumn="0" w:lastRowFirstColumn="0" w:lastRowLastColumn="0"/>
            </w:pPr>
            <w:r>
              <w:t>34208</w:t>
            </w:r>
          </w:p>
        </w:tc>
        <w:tc>
          <w:tcPr>
            <w:tcW w:w="2160" w:type="dxa"/>
          </w:tcPr>
          <w:p w14:paraId="2098C5AC" w14:textId="77777777" w:rsidR="00C923E6" w:rsidRDefault="00000000">
            <w:pPr>
              <w:cnfStyle w:val="000000010000" w:firstRow="0" w:lastRow="0" w:firstColumn="0" w:lastColumn="0" w:oddVBand="0" w:evenVBand="0" w:oddHBand="0" w:evenHBand="1" w:firstRowFirstColumn="0" w:firstRowLastColumn="0" w:lastRowFirstColumn="0" w:lastRowLastColumn="0"/>
            </w:pPr>
            <w:r>
              <w:t>39202</w:t>
            </w:r>
          </w:p>
        </w:tc>
      </w:tr>
      <w:tr w:rsidR="00C923E6" w14:paraId="0C808775" w14:textId="77777777" w:rsidTr="00C92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3C9ABA" w14:textId="77777777" w:rsidR="00C923E6" w:rsidRDefault="00000000">
            <w:r>
              <w:t>25</w:t>
            </w:r>
          </w:p>
        </w:tc>
        <w:tc>
          <w:tcPr>
            <w:tcW w:w="2160" w:type="dxa"/>
          </w:tcPr>
          <w:p w14:paraId="2308801A" w14:textId="77777777" w:rsidR="00C923E6" w:rsidRDefault="00000000">
            <w:pPr>
              <w:cnfStyle w:val="000000100000" w:firstRow="0" w:lastRow="0" w:firstColumn="0" w:lastColumn="0" w:oddVBand="0" w:evenVBand="0" w:oddHBand="1" w:evenHBand="0" w:firstRowFirstColumn="0" w:firstRowLastColumn="0" w:lastRowFirstColumn="0" w:lastRowLastColumn="0"/>
            </w:pPr>
            <w:r>
              <w:t>0.478</w:t>
            </w:r>
          </w:p>
        </w:tc>
        <w:tc>
          <w:tcPr>
            <w:tcW w:w="2160" w:type="dxa"/>
          </w:tcPr>
          <w:p w14:paraId="18273792" w14:textId="77777777" w:rsidR="00C923E6" w:rsidRDefault="00000000">
            <w:pPr>
              <w:cnfStyle w:val="000000100000" w:firstRow="0" w:lastRow="0" w:firstColumn="0" w:lastColumn="0" w:oddVBand="0" w:evenVBand="0" w:oddHBand="1" w:evenHBand="0" w:firstRowFirstColumn="0" w:firstRowLastColumn="0" w:lastRowFirstColumn="0" w:lastRowLastColumn="0"/>
            </w:pPr>
            <w:r>
              <w:t>35886</w:t>
            </w:r>
          </w:p>
        </w:tc>
        <w:tc>
          <w:tcPr>
            <w:tcW w:w="2160" w:type="dxa"/>
          </w:tcPr>
          <w:p w14:paraId="338B9283" w14:textId="77777777" w:rsidR="00C923E6" w:rsidRDefault="00000000">
            <w:pPr>
              <w:cnfStyle w:val="000000100000" w:firstRow="0" w:lastRow="0" w:firstColumn="0" w:lastColumn="0" w:oddVBand="0" w:evenVBand="0" w:oddHBand="1" w:evenHBand="0" w:firstRowFirstColumn="0" w:firstRowLastColumn="0" w:lastRowFirstColumn="0" w:lastRowLastColumn="0"/>
            </w:pPr>
            <w:r>
              <w:t>43487</w:t>
            </w:r>
          </w:p>
        </w:tc>
      </w:tr>
      <w:tr w:rsidR="00C923E6" w14:paraId="13E15251" w14:textId="77777777" w:rsidTr="00C923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93B24" w14:textId="77777777" w:rsidR="00C923E6" w:rsidRDefault="00000000">
            <w:r>
              <w:t>30</w:t>
            </w:r>
          </w:p>
        </w:tc>
        <w:tc>
          <w:tcPr>
            <w:tcW w:w="2160" w:type="dxa"/>
          </w:tcPr>
          <w:p w14:paraId="5DBEB14A" w14:textId="77777777" w:rsidR="00C923E6" w:rsidRDefault="00000000">
            <w:pPr>
              <w:cnfStyle w:val="000000010000" w:firstRow="0" w:lastRow="0" w:firstColumn="0" w:lastColumn="0" w:oddVBand="0" w:evenVBand="0" w:oddHBand="0" w:evenHBand="1" w:firstRowFirstColumn="0" w:firstRowLastColumn="0" w:lastRowFirstColumn="0" w:lastRowLastColumn="0"/>
            </w:pPr>
            <w:r>
              <w:t>0.486</w:t>
            </w:r>
          </w:p>
        </w:tc>
        <w:tc>
          <w:tcPr>
            <w:tcW w:w="2160" w:type="dxa"/>
          </w:tcPr>
          <w:p w14:paraId="77A43C38" w14:textId="77777777" w:rsidR="00C923E6" w:rsidRDefault="00000000">
            <w:pPr>
              <w:cnfStyle w:val="000000010000" w:firstRow="0" w:lastRow="0" w:firstColumn="0" w:lastColumn="0" w:oddVBand="0" w:evenVBand="0" w:oddHBand="0" w:evenHBand="1" w:firstRowFirstColumn="0" w:firstRowLastColumn="0" w:lastRowFirstColumn="0" w:lastRowLastColumn="0"/>
            </w:pPr>
            <w:r>
              <w:t>38660</w:t>
            </w:r>
          </w:p>
        </w:tc>
        <w:tc>
          <w:tcPr>
            <w:tcW w:w="2160" w:type="dxa"/>
          </w:tcPr>
          <w:p w14:paraId="72A73676" w14:textId="77777777" w:rsidR="00C923E6" w:rsidRDefault="00000000">
            <w:pPr>
              <w:cnfStyle w:val="000000010000" w:firstRow="0" w:lastRow="0" w:firstColumn="0" w:lastColumn="0" w:oddVBand="0" w:evenVBand="0" w:oddHBand="0" w:evenHBand="1" w:firstRowFirstColumn="0" w:firstRowLastColumn="0" w:lastRowFirstColumn="0" w:lastRowLastColumn="0"/>
            </w:pPr>
            <w:r>
              <w:t>45809</w:t>
            </w:r>
          </w:p>
        </w:tc>
      </w:tr>
    </w:tbl>
    <w:p w14:paraId="461FB43C" w14:textId="77777777" w:rsidR="00C923E6" w:rsidRDefault="00000000">
      <w:pPr>
        <w:pStyle w:val="Heading2"/>
      </w:pPr>
      <w:r>
        <w:t>2. Shape of PnL_validation(theta)</w:t>
      </w:r>
    </w:p>
    <w:p w14:paraId="49522E39" w14:textId="77777777" w:rsidR="00C923E6" w:rsidRDefault="00000000">
      <w:r>
        <w:t xml:space="preserve">As </w:t>
      </w:r>
      <w:r>
        <w:rPr>
          <w:rFonts w:ascii="Cambria Math" w:hAnsi="Cambria Math"/>
          <w:i/>
        </w:rPr>
        <w:t>θ</w:t>
      </w:r>
      <w:r>
        <w:t xml:space="preserve"> rises from 0 we internalize progressively more clients in increasing order of </w:t>
      </w:r>
      <w:r>
        <w:rPr>
          <w:rFonts w:ascii="Cambria Math" w:hAnsi="Cambria Math"/>
          <w:i/>
        </w:rPr>
        <w:t>p</w:t>
      </w:r>
      <w:r>
        <w:t>. PnL first climbs (we keep profitable low-</w:t>
      </w:r>
      <w:r>
        <w:rPr>
          <w:rFonts w:ascii="Cambria Math" w:hAnsi="Cambria Math"/>
          <w:i/>
        </w:rPr>
        <w:t>p</w:t>
      </w:r>
      <w:r>
        <w:t xml:space="preserve"> clients A,B,C), peaks, then falls/flattens as high-</w:t>
      </w:r>
      <w:r>
        <w:rPr>
          <w:rFonts w:ascii="Cambria Math" w:hAnsi="Cambria Math"/>
          <w:i/>
        </w:rPr>
        <w:t>p</w:t>
      </w:r>
      <w:r>
        <w:t xml:space="preserve"> toxic clients (E,F, and D at long </w:t>
      </w:r>
      <w:r>
        <w:rPr>
          <w:rFonts w:ascii="Cambria Math" w:hAnsi="Cambria Math"/>
          <w:i/>
        </w:rPr>
        <w:t>τ</w:t>
      </w:r>
      <w:r>
        <w:t xml:space="preserve">) get pulled in. </w:t>
      </w:r>
      <w:r>
        <w:rPr>
          <w:rFonts w:ascii="Cambria Math" w:hAnsi="Cambria Math"/>
          <w:i/>
        </w:rPr>
        <w:t>θ</w:t>
      </w:r>
      <w:r>
        <w:rPr>
          <w:rFonts w:ascii="Cambria Math" w:hAnsi="Cambria Math"/>
          <w:vertAlign w:val="superscript"/>
        </w:rPr>
        <w:t>*</w:t>
      </w:r>
      <w:r>
        <w:t xml:space="preserve"> sits in the gap between the last profitable client's </w:t>
      </w:r>
      <w:r>
        <w:rPr>
          <w:rFonts w:ascii="Cambria Math" w:hAnsi="Cambria Math"/>
          <w:i/>
        </w:rPr>
        <w:t>p</w:t>
      </w:r>
      <w:r>
        <w:t xml:space="preserve"> and the first costly client's </w:t>
      </w:r>
      <w:r>
        <w:rPr>
          <w:rFonts w:ascii="Cambria Math" w:hAnsi="Cambria Math"/>
          <w:i/>
        </w:rPr>
        <w:t>p</w:t>
      </w:r>
      <w:r>
        <w:t xml:space="preserve">. </w:t>
      </w:r>
      <w:r>
        <w:rPr>
          <w:rFonts w:ascii="Cambria Math" w:hAnsi="Cambria Math"/>
          <w:i/>
        </w:rPr>
        <w:t>θ</w:t>
      </w:r>
      <w:r>
        <w:rPr>
          <w:rFonts w:ascii="Cambria Math" w:hAnsi="Cambria Math"/>
          <w:vertAlign w:val="superscript"/>
        </w:rPr>
        <w:t>*</w:t>
      </w:r>
      <w:r>
        <w:t xml:space="preserve"> decreases as </w:t>
      </w:r>
      <w:r>
        <w:rPr>
          <w:rFonts w:ascii="Cambria Math" w:hAnsi="Cambria Math"/>
          <w:i/>
        </w:rPr>
        <w:t>τ</w:t>
      </w:r>
      <w:r>
        <w:t xml:space="preserve"> grows because adverse drift accumulates and more clients turn costly.</w:t>
      </w:r>
    </w:p>
    <w:p w14:paraId="70C42509" w14:textId="77777777" w:rsidR="00C923E6" w:rsidRDefault="00000000">
      <w:pPr>
        <w:pStyle w:val="Heading2"/>
      </w:pPr>
      <w:r>
        <w:lastRenderedPageBreak/>
        <w:t>3. Discussion</w:t>
      </w:r>
    </w:p>
    <w:p w14:paraId="2FCDAC6D" w14:textId="77777777" w:rsidR="00C923E6" w:rsidRDefault="00000000">
      <w:r>
        <w:t xml:space="preserve">(a) </w:t>
      </w:r>
      <w:r>
        <w:rPr>
          <w:rFonts w:ascii="Cambria Math" w:hAnsi="Cambria Math"/>
          <w:i/>
        </w:rPr>
        <w:t>θ</w:t>
      </w:r>
      <w:r>
        <w:t xml:space="preserve"> too low (over-externalization). With </w:t>
      </w:r>
      <w:r>
        <w:rPr>
          <w:rFonts w:ascii="Cambria Math" w:hAnsi="Cambria Math"/>
          <w:i/>
        </w:rPr>
        <w:t>θ</w:t>
      </w:r>
      <w:r>
        <w:t xml:space="preserve"> near 0 we externalize almost everything, including the profitable benign flow of A, B, C. Those trades net to zero instead of earning their positive spread, so we forfeit the bulk of revenue. At </w:t>
      </w:r>
      <w:r>
        <w:rPr>
          <w:rFonts w:ascii="Cambria Math" w:hAnsi="Cambria Math"/>
          <w:i/>
        </w:rPr>
        <w:t>τ</w:t>
      </w:r>
      <w:r>
        <w:t>=30 internalizing only A,B,C earns ~+45.8k on test; over-externalizing drives this toward 0.</w:t>
      </w:r>
    </w:p>
    <w:p w14:paraId="005CA97E" w14:textId="77777777" w:rsidR="00C923E6" w:rsidRDefault="00000000">
      <w:r>
        <w:t xml:space="preserve">(b) </w:t>
      </w:r>
      <w:r>
        <w:rPr>
          <w:rFonts w:ascii="Cambria Math" w:hAnsi="Cambria Math"/>
          <w:i/>
        </w:rPr>
        <w:t>θ</w:t>
      </w:r>
      <w:r>
        <w:t xml:space="preserve"> too high (under-externalization). With </w:t>
      </w:r>
      <w:r>
        <w:rPr>
          <w:rFonts w:ascii="Cambria Math" w:hAnsi="Cambria Math"/>
          <w:i/>
        </w:rPr>
        <w:t>θ</w:t>
      </w:r>
      <w:r>
        <w:t xml:space="preserve"> near 1 we internalize everything, including toxic E and F (and D at long horizons). We then absorb their adverse flow: at </w:t>
      </w:r>
      <w:r>
        <w:rPr>
          <w:rFonts w:ascii="Cambria Math" w:hAnsi="Cambria Math"/>
          <w:i/>
        </w:rPr>
        <w:t>τ</w:t>
      </w:r>
      <w:r>
        <w:t>=30 D,E,F contribute about -2.95k, -8.26k and -16.25k on test, a combined ~-27.5k drag.</w:t>
      </w:r>
    </w:p>
    <w:p w14:paraId="7DDEFCB8" w14:textId="77777777" w:rsidR="00C923E6" w:rsidRDefault="00000000">
      <w:r>
        <w:t xml:space="preserve">(c) Global vs client-specific </w:t>
      </w:r>
      <w:r>
        <w:rPr>
          <w:rFonts w:ascii="Cambria Math" w:hAnsi="Cambria Math"/>
          <w:i/>
        </w:rPr>
        <w:t>θ</w:t>
      </w:r>
      <w:r>
        <w:rPr>
          <w:rFonts w:ascii="Cambria Math" w:hAnsi="Cambria Math"/>
          <w:vertAlign w:val="superscript"/>
        </w:rPr>
        <w:t>*</w:t>
      </w:r>
      <w:r>
        <w:t xml:space="preserve">. Because the Task-3 model uses only client and </w:t>
      </w:r>
      <w:r>
        <w:rPr>
          <w:rFonts w:ascii="Cambria Math" w:hAnsi="Cambria Math"/>
          <w:i/>
        </w:rPr>
        <w:t>τ</w:t>
      </w:r>
      <w:r>
        <w:t xml:space="preserve">, </w:t>
      </w:r>
      <w:r>
        <w:rPr>
          <w:rFonts w:ascii="Cambria Math" w:hAnsi="Cambria Math"/>
          <w:i/>
        </w:rPr>
        <w:t>p</w:t>
      </w:r>
      <w:r>
        <w:rPr>
          <w:rFonts w:ascii="Cambria Math" w:hAnsi="Cambria Math"/>
          <w:i/>
          <w:vertAlign w:val="subscript"/>
        </w:rPr>
        <w:t>i</w:t>
      </w:r>
      <w:r>
        <w:t xml:space="preserve"> is constant within a (client,</w:t>
      </w:r>
      <w:r>
        <w:rPr>
          <w:rFonts w:ascii="Cambria Math" w:hAnsi="Cambria Math"/>
          <w:i/>
        </w:rPr>
        <w:t>τ</w:t>
      </w:r>
      <w:r>
        <w:t xml:space="preserve">) cell, and PnL per client falls monotonically with </w:t>
      </w:r>
      <w:r>
        <w:rPr>
          <w:rFonts w:ascii="Cambria Math" w:hAnsi="Cambria Math"/>
          <w:i/>
        </w:rPr>
        <w:t>p</w:t>
      </w:r>
      <w:r>
        <w:t xml:space="preserve">. Sweeping a single global </w:t>
      </w:r>
      <w:r>
        <w:rPr>
          <w:rFonts w:ascii="Cambria Math" w:hAnsi="Cambria Math"/>
          <w:i/>
        </w:rPr>
        <w:t>θ</w:t>
      </w:r>
      <w:r>
        <w:t xml:space="preserve"> therefore internalizes a prefix of clients ordered by </w:t>
      </w:r>
      <w:r>
        <w:rPr>
          <w:rFonts w:ascii="Cambria Math" w:hAnsi="Cambria Math"/>
          <w:i/>
        </w:rPr>
        <w:t>p</w:t>
      </w:r>
      <w:r>
        <w:t xml:space="preserve">, and the optimal prefix equals { clients with positive validation PnL } - exactly what independent client-specific optimization selects. I verified the two modes give identical validation and test PnL at every horizon, so a global </w:t>
      </w:r>
      <w:r>
        <w:rPr>
          <w:rFonts w:ascii="Cambria Math" w:hAnsi="Cambria Math"/>
          <w:i/>
        </w:rPr>
        <w:t>θ</w:t>
      </w:r>
      <w:r>
        <w:t xml:space="preserve"> is sufficient and optimal here. The general answer is client-/horizon-specific (D is kept at </w:t>
      </w:r>
      <w:r>
        <w:rPr>
          <w:rFonts w:ascii="Cambria Math" w:hAnsi="Cambria Math"/>
          <w:i/>
        </w:rPr>
        <w:t>τ</w:t>
      </w:r>
      <w:r>
        <w:rPr>
          <w:rFonts w:ascii="Cambria Math" w:hAnsi="Cambria Math"/>
        </w:rPr>
        <w:t xml:space="preserve"> ≤ 20</w:t>
      </w:r>
      <w:r>
        <w:t xml:space="preserve"> but cut by </w:t>
      </w:r>
      <w:r>
        <w:rPr>
          <w:rFonts w:ascii="Cambria Math" w:hAnsi="Cambria Math"/>
          <w:i/>
        </w:rPr>
        <w:t>τ</w:t>
      </w:r>
      <w:r>
        <w:t xml:space="preserve">=25), so I report </w:t>
      </w:r>
      <w:r>
        <w:rPr>
          <w:rFonts w:ascii="Cambria Math" w:hAnsi="Cambria Math"/>
          <w:i/>
        </w:rPr>
        <w:t>θ</w:t>
      </w:r>
      <w:r>
        <w:rPr>
          <w:rFonts w:ascii="Cambria Math" w:hAnsi="Cambria Math"/>
          <w:vertAlign w:val="superscript"/>
        </w:rPr>
        <w:t>*</w:t>
      </w:r>
      <w:r>
        <w:t xml:space="preserve"> per (client, </w:t>
      </w:r>
      <w:r>
        <w:rPr>
          <w:rFonts w:ascii="Cambria Math" w:hAnsi="Cambria Math"/>
          <w:i/>
        </w:rPr>
        <w:t>τ</w:t>
      </w:r>
      <w:r>
        <w:t>) in task4_results.csv.</w:t>
      </w:r>
    </w:p>
    <w:p w14:paraId="6E9216A7" w14:textId="77777777" w:rsidR="00C923E6" w:rsidRDefault="00000000">
      <w:pPr>
        <w:pStyle w:val="Heading2"/>
      </w:pPr>
      <w:r>
        <w:t>4. Final held-out test PnL at theta* (per horizon)</w:t>
      </w:r>
    </w:p>
    <w:p w14:paraId="757BFDD3" w14:textId="77777777" w:rsidR="00C923E6" w:rsidRDefault="00000000">
      <w:r>
        <w:rPr>
          <w:rFonts w:ascii="Cambria Math" w:hAnsi="Cambria Math"/>
          <w:i/>
        </w:rPr>
        <w:t>τ</w:t>
      </w:r>
      <w:r>
        <w:t xml:space="preserve">=5: 39917   </w:t>
      </w:r>
      <w:r>
        <w:rPr>
          <w:rFonts w:ascii="Cambria Math" w:hAnsi="Cambria Math"/>
          <w:i/>
        </w:rPr>
        <w:t>τ</w:t>
      </w:r>
      <w:r>
        <w:t xml:space="preserve">=10: 37133   </w:t>
      </w:r>
      <w:r>
        <w:rPr>
          <w:rFonts w:ascii="Cambria Math" w:hAnsi="Cambria Math"/>
          <w:i/>
        </w:rPr>
        <w:t>τ</w:t>
      </w:r>
      <w:r>
        <w:t xml:space="preserve">=15: 38297   </w:t>
      </w:r>
      <w:r>
        <w:rPr>
          <w:rFonts w:ascii="Cambria Math" w:hAnsi="Cambria Math"/>
          <w:i/>
        </w:rPr>
        <w:t>τ</w:t>
      </w:r>
      <w:r>
        <w:t xml:space="preserve">=20: 39202   </w:t>
      </w:r>
      <w:r>
        <w:rPr>
          <w:rFonts w:ascii="Cambria Math" w:hAnsi="Cambria Math"/>
          <w:i/>
        </w:rPr>
        <w:t>τ</w:t>
      </w:r>
      <w:r>
        <w:t xml:space="preserve">=25: 43487   </w:t>
      </w:r>
      <w:r>
        <w:rPr>
          <w:rFonts w:ascii="Cambria Math" w:hAnsi="Cambria Math"/>
          <w:i/>
        </w:rPr>
        <w:t>τ</w:t>
      </w:r>
      <w:r>
        <w:t>=30: 45809   (sum = 243846).</w:t>
      </w:r>
    </w:p>
    <w:p w14:paraId="30C57CEB" w14:textId="77777777" w:rsidR="00C923E6" w:rsidRDefault="00000000">
      <w:r>
        <w:t xml:space="preserve">These are positive at every horizon and, by construction, </w:t>
      </w:r>
      <w:r>
        <w:rPr>
          <w:rFonts w:ascii="Cambria Math" w:hAnsi="Cambria Math"/>
          <w:i/>
        </w:rPr>
        <w:t>θ</w:t>
      </w:r>
      <w:r>
        <w:rPr>
          <w:rFonts w:ascii="Cambria Math" w:hAnsi="Cambria Math"/>
          <w:vertAlign w:val="superscript"/>
        </w:rPr>
        <w:t>*</w:t>
      </w:r>
      <w:r>
        <w:t xml:space="preserve"> was fixed on validation only - so the test figures are an honest out-of-sample estimate. (At </w:t>
      </w:r>
      <w:r>
        <w:rPr>
          <w:rFonts w:ascii="Cambria Math" w:hAnsi="Cambria Math"/>
          <w:i/>
        </w:rPr>
        <w:t>τ</w:t>
      </w:r>
      <w:r>
        <w:t>=20 client D yields a small negative test PnL ~-49 despite positive validation PnL; this is the expected cost of selecting the boundary client on held-out data, not a bug.)</w:t>
      </w:r>
    </w:p>
    <w:p w14:paraId="23560130" w14:textId="77777777" w:rsidR="00C923E6" w:rsidRDefault="00000000">
      <w:pPr>
        <w:pStyle w:val="Heading2"/>
      </w:pPr>
      <w:r>
        <w:t>5. Link to earlier tasks</w:t>
      </w:r>
    </w:p>
    <w:p w14:paraId="357862A8" w14:textId="77777777" w:rsidR="00C923E6" w:rsidRDefault="00000000">
      <w:r>
        <w:rPr>
          <w:rFonts w:ascii="Cambria Math" w:hAnsi="Cambria Math"/>
          <w:i/>
        </w:rPr>
        <w:t>θ</w:t>
      </w:r>
      <w:r>
        <w:rPr>
          <w:rFonts w:ascii="Cambria Math" w:hAnsi="Cambria Math"/>
          <w:vertAlign w:val="superscript"/>
        </w:rPr>
        <w:t>*</w:t>
      </w:r>
      <w:r>
        <w:t xml:space="preserve"> tracks the adversity profiles of Task 1 and the </w:t>
      </w:r>
      <w:r>
        <w:rPr>
          <w:rFonts w:ascii="Cambria Math" w:hAnsi="Cambria Math"/>
          <w:i/>
        </w:rPr>
        <w:t>δ</w:t>
      </w:r>
      <w:r>
        <w:rPr>
          <w:rFonts w:ascii="Cambria Math" w:hAnsi="Cambria Math"/>
          <w:vertAlign w:val="superscript"/>
        </w:rPr>
        <w:t>*</w:t>
      </w:r>
      <w:r>
        <w:t xml:space="preserve"> ranking of Task 2: A,B,C (low adversity, </w:t>
      </w:r>
      <w:r>
        <w:rPr>
          <w:rFonts w:ascii="Cambria Math" w:hAnsi="Cambria Math"/>
          <w:i/>
        </w:rPr>
        <w:t>δ</w:t>
      </w:r>
      <w:r>
        <w:rPr>
          <w:rFonts w:ascii="Cambria Math" w:hAnsi="Cambria Math"/>
          <w:vertAlign w:val="superscript"/>
        </w:rPr>
        <w:t>*</w:t>
      </w:r>
      <w:r>
        <w:t xml:space="preserve">=0) are always internalized; D,E,F (high, rising adversity, large </w:t>
      </w:r>
      <w:r>
        <w:rPr>
          <w:rFonts w:ascii="Cambria Math" w:hAnsi="Cambria Math"/>
          <w:i/>
        </w:rPr>
        <w:t>δ</w:t>
      </w:r>
      <w:r>
        <w:rPr>
          <w:rFonts w:ascii="Cambria Math" w:hAnsi="Cambria Math"/>
          <w:vertAlign w:val="superscript"/>
        </w:rPr>
        <w:t>*</w:t>
      </w:r>
      <w:r>
        <w:t xml:space="preserve">) are externalized first and at progressively lower </w:t>
      </w:r>
      <w:r>
        <w:rPr>
          <w:rFonts w:ascii="Cambria Math" w:hAnsi="Cambria Math"/>
          <w:i/>
        </w:rPr>
        <w:t>τ</w:t>
      </w:r>
      <w:r>
        <w:t>. Externalization is the discrete analogue of widening the spread.</w:t>
      </w:r>
    </w:p>
    <w:sectPr w:rsidR="00C923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564481">
    <w:abstractNumId w:val="8"/>
  </w:num>
  <w:num w:numId="2" w16cid:durableId="260797065">
    <w:abstractNumId w:val="6"/>
  </w:num>
  <w:num w:numId="3" w16cid:durableId="1197309160">
    <w:abstractNumId w:val="5"/>
  </w:num>
  <w:num w:numId="4" w16cid:durableId="368606426">
    <w:abstractNumId w:val="4"/>
  </w:num>
  <w:num w:numId="5" w16cid:durableId="1904371516">
    <w:abstractNumId w:val="7"/>
  </w:num>
  <w:num w:numId="6" w16cid:durableId="1590844865">
    <w:abstractNumId w:val="3"/>
  </w:num>
  <w:num w:numId="7" w16cid:durableId="1900630121">
    <w:abstractNumId w:val="2"/>
  </w:num>
  <w:num w:numId="8" w16cid:durableId="552276851">
    <w:abstractNumId w:val="1"/>
  </w:num>
  <w:num w:numId="9" w16cid:durableId="21968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3A"/>
    <w:rsid w:val="0015074B"/>
    <w:rsid w:val="0029639D"/>
    <w:rsid w:val="00326F90"/>
    <w:rsid w:val="00555967"/>
    <w:rsid w:val="00AA1D8D"/>
    <w:rsid w:val="00B47730"/>
    <w:rsid w:val="00C923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D9B98"/>
  <w14:defaultImageDpi w14:val="300"/>
  <w15:docId w15:val="{CF458CB3-A2FA-EA46-A44C-99175D0D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Bansal, Divyesh</cp:lastModifiedBy>
  <cp:revision>2</cp:revision>
  <dcterms:created xsi:type="dcterms:W3CDTF">2013-12-23T23:15:00Z</dcterms:created>
  <dcterms:modified xsi:type="dcterms:W3CDTF">2026-06-07T11:07:00Z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2026-06-07T11:07:55Z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db846a24-8690-4ae9-9d3a-41a51d90aa4b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