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bidi/>
        <w:spacing w:before="0" w:after="120"/>
        <w:jc w:val="center"/>
      </w:pPr>
      <w:r>
        <w:rPr>
          <w:rFonts w:ascii="Arial" w:cs="Arial" w:eastAsia="Arial" w:hAnsi="Arial"/>
          <w:b/>
          <w:bCs/>
          <w:color w:val="1A3A5C"/>
          <w:sz w:val="64"/>
          <w:szCs w:val="64"/>
          <w:rtl/>
        </w:rPr>
        <w:t xml:space="preserve">ديواني AI</w:t>
      </w:r>
    </w:p>
    <w:p>
      <w:pPr>
        <w:bidi/>
        <w:spacing w:before="0" w:after="80"/>
        <w:jc w:val="center"/>
      </w:pPr>
      <w:r>
        <w:rPr>
          <w:rFonts w:ascii="Arial" w:cs="Arial" w:eastAsia="Arial" w:hAnsi="Arial"/>
          <w:color w:val="2E6DA4"/>
          <w:sz w:val="36"/>
          <w:szCs w:val="36"/>
          <w:rtl/>
        </w:rPr>
        <w:t xml:space="preserve">المعمارية الإدراكية للذاكرة الهرمية</w:t>
      </w:r>
    </w:p>
    <w:p>
      <w:pPr>
        <w:bidi/>
        <w:spacing w:before="0" w:after="240"/>
        <w:jc w:val="center"/>
      </w:pPr>
      <w:r>
        <w:rPr>
          <w:rFonts w:ascii="Arial" w:cs="Arial" w:eastAsia="Arial" w:hAnsi="Arial"/>
          <w:color w:val="555555"/>
          <w:sz w:val="24"/>
          <w:szCs w:val="24"/>
          <w:rtl/>
        </w:rPr>
        <w:t xml:space="preserve">إطار للقضاء على الهلوسة والنسيان الكارثي والتحيز في الذكاء الاصطناعي المؤسسي</w:t>
      </w:r>
    </w:p>
    <w:p>
      <w:pPr>
        <w:pBdr>
          <w:bottom w:val="single" w:color="2E6DA4" w:sz="4" w:space="1"/>
        </w:pBdr>
        <w:bidi/>
        <w:spacing w:before="120" w:after="120"/>
      </w:pPr>
      <w:r>
        <w:t xml:space="preserve"/>
      </w:r>
    </w:p>
    <w:p>
      <w:pPr>
        <w:bidi/>
        <w:spacing w:before="120" w:after="60"/>
        <w:jc w:val="center"/>
      </w:pPr>
      <w:r>
        <w:rPr>
          <w:rFonts w:ascii="Arial" w:cs="Arial" w:eastAsia="Arial" w:hAnsi="Arial"/>
          <w:color w:val="444444"/>
          <w:sz w:val="22"/>
          <w:szCs w:val="22"/>
          <w:rtl/>
        </w:rPr>
        <w:t xml:space="preserve">ورقة تقنية بحثية — الإصدار 1.0</w:t>
      </w:r>
    </w:p>
    <w:p>
      <w:pPr>
        <w:bidi/>
        <w:spacing w:before="0" w:after="60"/>
        <w:jc w:val="center"/>
      </w:pPr>
      <w:r>
        <w:rPr>
          <w:rFonts w:ascii="Arial" w:cs="Arial" w:eastAsia="Arial" w:hAnsi="Arial"/>
          <w:color w:val="444444"/>
          <w:sz w:val="22"/>
          <w:szCs w:val="22"/>
          <w:rtl/>
        </w:rPr>
        <w:t xml:space="preserve">المؤلف: فتحي ديواني، المؤسس والرئيس التنفيذي</w:t>
      </w:r>
    </w:p>
    <w:p>
      <w:pPr>
        <w:bidi/>
        <w:spacing w:before="0" w:after="60"/>
        <w:jc w:val="center"/>
      </w:pPr>
      <w:r>
        <w:rPr>
          <w:rFonts w:ascii="Arial" w:cs="Arial" w:eastAsia="Arial" w:hAnsi="Arial"/>
          <w:color w:val="444444"/>
          <w:sz w:val="22"/>
          <w:szCs w:val="22"/>
          <w:rtl/>
        </w:rPr>
        <w:t xml:space="preserve">شركة ديواني الحديثة | الرياض، المملكة العربية السعودية</w:t>
      </w:r>
    </w:p>
    <w:p>
      <w:pPr>
        <w:bidi/>
        <w:spacing w:before="0" w:after="60"/>
        <w:jc w:val="center"/>
      </w:pPr>
      <w:r>
        <w:rPr>
          <w:rFonts w:ascii="Arial" w:cs="Arial" w:eastAsia="Arial" w:hAnsi="Arial"/>
          <w:color w:val="444444"/>
          <w:sz w:val="22"/>
          <w:szCs w:val="22"/>
          <w:rtl/>
        </w:rPr>
        <w:t xml:space="preserve">تاريخ أول تطبيق: نوفمبر 2025</w:t>
      </w:r>
    </w:p>
    <w:p>
      <w:pPr>
        <w:bidi/>
        <w:spacing w:before="0" w:after="60"/>
        <w:jc w:val="center"/>
      </w:pPr>
      <w:r>
        <w:rPr>
          <w:rFonts w:ascii="Arial" w:cs="Arial" w:eastAsia="Arial" w:hAnsi="Arial"/>
          <w:color w:val="888888"/>
          <w:sz w:val="20"/>
          <w:szCs w:val="20"/>
          <w:rtl/>
        </w:rPr>
        <w:t xml:space="preserve">المستودع: github.com/Diwani90/diwani_ai (خاص — أول commit: نوفمبر 2025)</w:t>
      </w:r>
    </w:p>
    <w:p>
      <w:pPr>
        <w:bidi/>
        <w:spacing w:before="0" w:after="480"/>
        <w:jc w:val="center"/>
      </w:pPr>
      <w:r>
        <w:rPr>
          <w:rFonts w:ascii="Arial" w:cs="Arial" w:eastAsia="Arial" w:hAnsi="Arial"/>
          <w:color w:val="888888"/>
          <w:sz w:val="20"/>
          <w:szCs w:val="20"/>
          <w:rtl/>
        </w:rPr>
        <w:t xml:space="preserve">الورقة التقنية العامة: github.com/Diwani90/diwani-ai-whitepaper</w:t>
      </w:r>
    </w:p>
    <w:p>
      <w:pPr>
        <w:pBdr>
          <w:bottom w:val="single" w:color="2E6DA4" w:sz="4" w:space="1"/>
        </w:pBdr>
        <w:bidi/>
        <w:spacing w:before="120" w:after="120"/>
      </w:pPr>
      <w:r>
        <w:t xml:space="preserve"/>
      </w:r>
    </w:p>
    <w:p>
      <w:pPr>
        <w:pStyle w:val="Heading1"/>
        <w:bidi/>
        <w:spacing w:before="360" w:after="180"/>
        <w:jc w:val="right"/>
      </w:pPr>
      <w:r>
        <w:rPr>
          <w:rFonts w:ascii="Arial" w:cs="Arial" w:eastAsia="Arial" w:hAnsi="Arial"/>
          <w:b/>
          <w:bCs/>
          <w:color w:val="1A3A5C"/>
          <w:sz w:val="32"/>
          <w:szCs w:val="32"/>
          <w:rtl/>
        </w:rPr>
        <w:t xml:space="preserve">الملخص</w:t>
      </w:r>
    </w:p>
    <w:p>
      <w:pPr>
        <w:bidi/>
        <w:spacing w:before="80" w:after="80"/>
        <w:jc w:val="right"/>
      </w:pPr>
      <w:r>
        <w:rPr>
          <w:rFonts w:ascii="Arial" w:cs="Arial" w:eastAsia="Arial" w:hAnsi="Arial"/>
          <w:sz w:val="22"/>
          <w:szCs w:val="22"/>
          <w:rtl/>
        </w:rPr>
        <w:t xml:space="preserve">تقدم هذه الورقة المعمارية الإدراكية لنظام ديواني AI — وهي إطار معماري جديد مصمم للتعامل مع الأسباب الجذرية لثلاث إخفاقات جوهرية في نماذج اللغة الكبيرة الحالية: الهلوسة، والنسيان الكارثي، والتحيز المنهجي. على خلاف المقاربات القائمة التي تعالج هذه المشكلات بشكل منفصل، تعتبر هذه المعمارية هذه الإخفاقات أعراضاً لسبب جذري واحد: غياب نظام ذاكرة إدراكية منظمة وديناميكية وذاتية التصحيح، مدمج مع عملية التعلم المستمر.</w:t>
      </w:r>
    </w:p>
    <w:p>
      <w:pPr>
        <w:bidi/>
        <w:spacing w:before="80" w:after="80"/>
        <w:jc w:val="right"/>
      </w:pPr>
      <w:r>
        <w:rPr>
          <w:rFonts w:ascii="Arial" w:cs="Arial" w:eastAsia="Arial" w:hAnsi="Arial"/>
          <w:sz w:val="22"/>
          <w:szCs w:val="22"/>
          <w:rtl/>
        </w:rPr>
        <w:t xml:space="preserve">الحل المقترح هو معمارية ذاكرة هرمية من ست طبقات — تعمل ليس كنظام تخزين بيانات فحسب، بل كمحرك تفكير إدراكي — مقترنة بتصحيح ذاتي في الوقت الفعلي، وتعلم تكيفي ديناميكي، ونظام تنسيق متعدد المكونات يديره منسق مركزي هو MemoryCore. جميع معاملات النظام تعمل بنسب ديناميكية وليست ثوابت محددة مسبقاً، مما يتيح التكيف المستمر مع السياقات المؤسسية المتطورة.</w:t>
      </w:r>
    </w:p>
    <w:p>
      <w:pPr>
        <w:bidi/>
        <w:spacing w:before="80" w:after="80"/>
        <w:jc w:val="right"/>
      </w:pPr>
      <w:r>
        <w:rPr>
          <w:rFonts w:ascii="Arial" w:cs="Arial" w:eastAsia="Arial" w:hAnsi="Arial"/>
          <w:sz w:val="22"/>
          <w:szCs w:val="22"/>
          <w:rtl/>
        </w:rPr>
        <w:t xml:space="preserve">هذه المعمارية قيد التطوير والاختبار النشط في شركة ديواني الحديثة، مستهدفةً السوق المؤسسي في المملكة العربية السعودية والعالم العربي، مع الامتثال الكامل لأنظمة PDPL وSDIAIA وSAMA، وإطار أخلاقي إسلامي متكامل.</w:t>
      </w:r>
    </w:p>
    <w:p>
      <w:pPr>
        <w:pBdr>
          <w:bottom w:val="single" w:color="2E6DA4" w:sz="4" w:space="1"/>
        </w:pBdr>
        <w:bidi/>
        <w:spacing w:before="120" w:after="120"/>
      </w:pPr>
      <w:r>
        <w:t xml:space="preserve"/>
      </w:r>
    </w:p>
    <w:p>
      <w:pPr>
        <w:pStyle w:val="Heading1"/>
        <w:bidi/>
        <w:spacing w:before="360" w:after="180"/>
        <w:jc w:val="right"/>
      </w:pPr>
      <w:r>
        <w:rPr>
          <w:rFonts w:ascii="Arial" w:cs="Arial" w:eastAsia="Arial" w:hAnsi="Arial"/>
          <w:b/>
          <w:bCs/>
          <w:color w:val="1A3A5C"/>
          <w:sz w:val="32"/>
          <w:szCs w:val="32"/>
          <w:rtl/>
        </w:rPr>
        <w:t xml:space="preserve">١. المشكلة: لماذا يفشل الذكاء الاصطناعي الحالي في المؤسسات</w:t>
      </w:r>
    </w:p>
    <w:p>
      <w:pPr>
        <w:bidi/>
        <w:spacing w:before="80" w:after="80"/>
        <w:jc w:val="right"/>
      </w:pPr>
      <w:r>
        <w:rPr>
          <w:rFonts w:ascii="Arial" w:cs="Arial" w:eastAsia="Arial" w:hAnsi="Arial"/>
          <w:sz w:val="22"/>
          <w:szCs w:val="22"/>
          <w:rtl/>
        </w:rPr>
        <w:t xml:space="preserve">يعاني النموذج السائد في الذكاء الاصطناعي اليوم — نماذج اللغة الكبيرة القائمة على المحولات — من ثلاثة إخفاقات معمارية جوهرية تجعل الأنظمة الحالية غير مناسبة للنشر المؤسسي الجاد:</w:t>
      </w:r>
    </w:p>
    <w:p>
      <w:pPr>
        <w:pStyle w:val="Heading2"/>
        <w:bidi/>
        <w:spacing w:before="240" w:after="120"/>
        <w:jc w:val="right"/>
      </w:pPr>
      <w:r>
        <w:rPr>
          <w:rFonts w:ascii="Arial" w:cs="Arial" w:eastAsia="Arial" w:hAnsi="Arial"/>
          <w:b/>
          <w:bCs/>
          <w:color w:val="2E6DA4"/>
          <w:sz w:val="26"/>
          <w:szCs w:val="26"/>
          <w:rtl/>
        </w:rPr>
        <w:t xml:space="preserve">١.١ الهلوسة</w:t>
      </w:r>
    </w:p>
    <w:p>
      <w:pPr>
        <w:bidi/>
        <w:spacing w:before="80" w:after="80"/>
        <w:jc w:val="right"/>
      </w:pPr>
      <w:r>
        <w:rPr>
          <w:rFonts w:ascii="Arial" w:cs="Arial" w:eastAsia="Arial" w:hAnsi="Arial"/>
          <w:sz w:val="22"/>
          <w:szCs w:val="22"/>
          <w:rtl/>
        </w:rPr>
        <w:t xml:space="preserve">تُنتج نماذج اللغة الكبيرة الحالية استجاباتها من خلال التنبؤ الاحتمالي بالرمز التالي، لا من خلال استدلال مرتكز على الواقع. ينتج عن ذلك مخرجات إحصائياً معقولة لكن واقعياً خاطئة. تؤكد أبحاث 2025 أن حتى أفضل النماذج تهلوس بمعدلات تتراوح بين 0.7% و48% حسب تعقيد المهمة، دون حد أدنى نظري يمكن تحقيقه في ظل المعمارية الاحتمالية الحالية.</w:t>
      </w:r>
    </w:p>
    <w:p>
      <w:pPr>
        <w:pStyle w:val="Heading2"/>
        <w:bidi/>
        <w:spacing w:before="240" w:after="120"/>
        <w:jc w:val="right"/>
      </w:pPr>
      <w:r>
        <w:rPr>
          <w:rFonts w:ascii="Arial" w:cs="Arial" w:eastAsia="Arial" w:hAnsi="Arial"/>
          <w:b/>
          <w:bCs/>
          <w:color w:val="2E6DA4"/>
          <w:sz w:val="26"/>
          <w:szCs w:val="26"/>
          <w:rtl/>
        </w:rPr>
        <w:t xml:space="preserve">١.٢ النسيان الكارثي</w:t>
      </w:r>
    </w:p>
    <w:p>
      <w:pPr>
        <w:bidi/>
        <w:spacing w:before="80" w:after="80"/>
        <w:jc w:val="right"/>
      </w:pPr>
      <w:r>
        <w:rPr>
          <w:rFonts w:ascii="Arial" w:cs="Arial" w:eastAsia="Arial" w:hAnsi="Arial"/>
          <w:sz w:val="22"/>
          <w:szCs w:val="22"/>
          <w:rtl/>
        </w:rPr>
        <w:t xml:space="preserve">عند تدريب الشبكات العصبية على معلومات جديدة، تقوم بشكل منهجي بالكتابة فوق المعرفة المكتسبة سابقاً — وهي ظاهرة تُعرف بالنسيان الكارثي. هذا يجعل التعلم المستمر شبه مستحيل دون دورات إعادة تدريب مكلفة، مما يجعل أنظمة الذكاء الاصطناعي المؤسسية جامدة ومنفصلة عن السياق المؤسسي المتطور الذي تعمل فيه.</w:t>
      </w:r>
    </w:p>
    <w:p>
      <w:pPr>
        <w:pStyle w:val="Heading2"/>
        <w:bidi/>
        <w:spacing w:before="240" w:after="120"/>
        <w:jc w:val="right"/>
      </w:pPr>
      <w:r>
        <w:rPr>
          <w:rFonts w:ascii="Arial" w:cs="Arial" w:eastAsia="Arial" w:hAnsi="Arial"/>
          <w:b/>
          <w:bCs/>
          <w:color w:val="2E6DA4"/>
          <w:sz w:val="26"/>
          <w:szCs w:val="26"/>
          <w:rtl/>
        </w:rPr>
        <w:t xml:space="preserve">١.٣ التحيز المنهجي وانهيار السياق</w:t>
      </w:r>
    </w:p>
    <w:p>
      <w:pPr>
        <w:bidi/>
        <w:spacing w:before="80" w:after="80"/>
        <w:jc w:val="right"/>
      </w:pPr>
      <w:r>
        <w:rPr>
          <w:rFonts w:ascii="Arial" w:cs="Arial" w:eastAsia="Arial" w:hAnsi="Arial"/>
          <w:sz w:val="22"/>
          <w:szCs w:val="22"/>
          <w:rtl/>
        </w:rPr>
        <w:t xml:space="preserve">تحمل النماذج الحالية تحيزات متجذرة في بيانات التدريب والافتراضات المعمارية. والأهم من ذلك أنها تعمل بنافذة سياق ثابتة — بمجرد خروج المعلومة من هذه النافذة تُفقد نهائياً. بصرف النظر عن حجم نافذة السياق، يُعيد النموذج ضبط نفسه بين الجلسات، معاملاً كل تفاعل كأنه لا يملك أي تاريخ مؤسسي.</w:t>
      </w:r>
    </w:p>
    <w:p>
      <w:pPr>
        <w:bidi/>
        <w:spacing w:before="80" w:after="80"/>
        <w:jc w:val="right"/>
      </w:pPr>
      <w:r>
        <w:rPr>
          <w:rFonts w:ascii="Arial" w:cs="Arial" w:eastAsia="Arial" w:hAnsi="Arial"/>
          <w:sz w:val="22"/>
          <w:szCs w:val="22"/>
          <w:rtl/>
        </w:rPr>
        <w:t xml:space="preserve">هذه الإخفاقات الثلاثة ليست أخطاء مستقلة — إنها أعراض لغياب معماري واحد: ذاكرة إدراكية منظمة ومستمرة وذاتية التصحيح، تتكامل مع عملية الاستدلال في الوقت الفعلي.</w:t>
      </w:r>
    </w:p>
    <w:p>
      <w:pPr>
        <w:pBdr>
          <w:bottom w:val="single" w:color="2E6DA4" w:sz="4" w:space="1"/>
        </w:pBdr>
        <w:bidi/>
        <w:spacing w:before="120" w:after="120"/>
      </w:pPr>
      <w:r>
        <w:t xml:space="preserve"/>
      </w:r>
    </w:p>
    <w:p>
      <w:pPr>
        <w:pStyle w:val="Heading1"/>
        <w:bidi/>
        <w:spacing w:before="360" w:after="180"/>
        <w:jc w:val="right"/>
      </w:pPr>
      <w:r>
        <w:rPr>
          <w:rFonts w:ascii="Arial" w:cs="Arial" w:eastAsia="Arial" w:hAnsi="Arial"/>
          <w:b/>
          <w:bCs/>
          <w:color w:val="1A3A5C"/>
          <w:sz w:val="32"/>
          <w:szCs w:val="32"/>
          <w:rtl/>
        </w:rPr>
        <w:t xml:space="preserve">٢. المعمارية الإدراكية لديواني: المبادئ الجوهرية</w:t>
      </w:r>
    </w:p>
    <w:p>
      <w:pPr>
        <w:pStyle w:val="Heading2"/>
        <w:bidi/>
        <w:spacing w:before="240" w:after="120"/>
        <w:jc w:val="right"/>
      </w:pPr>
      <w:r>
        <w:rPr>
          <w:rFonts w:ascii="Arial" w:cs="Arial" w:eastAsia="Arial" w:hAnsi="Arial"/>
          <w:b/>
          <w:bCs/>
          <w:color w:val="2E6DA4"/>
          <w:sz w:val="26"/>
          <w:szCs w:val="26"/>
          <w:rtl/>
        </w:rPr>
        <w:t xml:space="preserve">٢.١ الرؤية التأسيسية</w:t>
      </w:r>
    </w:p>
    <w:p>
      <w:pPr>
        <w:bidi/>
        <w:spacing w:before="80" w:after="80"/>
        <w:jc w:val="right"/>
      </w:pPr>
      <w:r>
        <w:rPr>
          <w:rFonts w:ascii="Arial" w:cs="Arial" w:eastAsia="Arial" w:hAnsi="Arial"/>
          <w:sz w:val="22"/>
          <w:szCs w:val="22"/>
          <w:rtl/>
        </w:rPr>
        <w:t xml:space="preserve">الرؤية المحورية لهذه المعمارية هي أن الذاكرة والتفكير لا يمكن فصلهما. في جميع الأنظمة الحالية، الذاكرة إما نافذة سياق مؤقتة أو قاعدة بيانات متجهية للاسترجاع فقط. لا أيٌّ منهما يشارك في عملية التفكير ذاتها. تقترح معمارية ديواني أن الذاكرة يجب أن تكون طبقة إدراكية ديناميكية — تشكّل الاستدلال وتقيّده وتصحّحه في الوقت الفعلي.</w:t>
      </w:r>
    </w:p>
    <w:p>
      <w:pPr>
        <w:pStyle w:val="Heading2"/>
        <w:bidi/>
        <w:spacing w:before="240" w:after="120"/>
        <w:jc w:val="right"/>
      </w:pPr>
      <w:r>
        <w:rPr>
          <w:rFonts w:ascii="Arial" w:cs="Arial" w:eastAsia="Arial" w:hAnsi="Arial"/>
          <w:b/>
          <w:bCs/>
          <w:color w:val="2E6DA4"/>
          <w:sz w:val="26"/>
          <w:szCs w:val="26"/>
          <w:rtl/>
        </w:rPr>
        <w:t xml:space="preserve">٢.٢ الذاكرة الهرمية من ست طبقات</w:t>
      </w:r>
    </w:p>
    <w:p>
      <w:pPr>
        <w:bidi/>
        <w:spacing w:before="80" w:after="80"/>
        <w:jc w:val="right"/>
      </w:pPr>
      <w:r>
        <w:rPr>
          <w:rFonts w:ascii="Arial" w:cs="Arial" w:eastAsia="Arial" w:hAnsi="Arial"/>
          <w:sz w:val="22"/>
          <w:szCs w:val="22"/>
          <w:rtl/>
        </w:rPr>
        <w:t xml:space="preserve">تنظم المعمارية الذاكرة في ست طبقات إدراكية متمايزة، لكل منها نطاق زمني محدد وتقنية تخزين ووظيفة إدراكية. تتدفق المعلومات صعوداً عبر الهرم بناءً على الاستمرارية الزمنية والأهمية الدلالية: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505"/>
        <w:gridCol w:w="1504"/>
        <w:gridCol w:w="1506"/>
        <w:gridCol w:w="2006"/>
      </w:tblGrid>
      <w:tr>
        <w:tc>
          <w:tcPr>
            <w:tcW w:type="dxa" w:w="1805"/>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الطبقة</w:t>
            </w:r>
          </w:p>
        </w:tc>
        <w:tc>
          <w:tcPr>
            <w:tcW w:type="dxa" w:w="1805"/>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الاسم</w:t>
            </w:r>
          </w:p>
        </w:tc>
        <w:tc>
          <w:tcPr>
            <w:tcW w:type="dxa" w:w="1805"/>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النطاق الزمني</w:t>
            </w:r>
          </w:p>
        </w:tc>
        <w:tc>
          <w:tcPr>
            <w:tcW w:type="dxa" w:w="1805"/>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التقنية</w:t>
            </w:r>
          </w:p>
        </w:tc>
        <w:tc>
          <w:tcPr>
            <w:tcW w:type="dxa" w:w="1805"/>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الوظيفة</w:t>
            </w:r>
          </w:p>
        </w:tc>
      </w:tr>
      <w:tr>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L1</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الذاكرة الفورية</w:t>
            </w:r>
          </w:p>
        </w:tc>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&lt; 300ms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RAM</w:t>
            </w:r>
          </w:p>
        </w:tc>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معالجة المدخلات الحسية</w:t>
            </w:r>
          </w:p>
        </w:tc>
      </w:tr>
      <w:tr>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L2</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الذاكرة العاملة</w:t>
            </w:r>
          </w:p>
        </w:tc>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دقائق–ساعات</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RAM + Redis</w:t>
            </w:r>
          </w:p>
        </w:tc>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التفكير النشط وسياق الجلسة</w:t>
            </w:r>
          </w:p>
        </w:tc>
      </w:tr>
      <w:tr>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L3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الذاكرة طويلة المدى</w:t>
            </w:r>
          </w:p>
        </w:tc>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أيام–أشهر</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SQLite + VectorDB</w:t>
            </w:r>
          </w:p>
        </w:tc>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المعرفة المؤسسية الثابتة</w:t>
            </w:r>
          </w:p>
        </w:tc>
      </w:tr>
      <w:tr>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L4</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الأرشيف العميق</w:t>
            </w:r>
          </w:p>
        </w:tc>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أشهر–سنوات</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Gzip + تخزين بارد</w:t>
            </w:r>
          </w:p>
        </w:tc>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الأنماط والقرارات التاريخية</w:t>
            </w:r>
          </w:p>
        </w:tc>
      </w:tr>
      <w:tr>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L5</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ذاكرة الشذوذات</w:t>
            </w:r>
          </w:p>
        </w:tc>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دائمة</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مخزن معزول</w:t>
            </w:r>
          </w:p>
        </w:tc>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التناقضات وأنماط الأخطاء</w:t>
            </w:r>
          </w:p>
        </w:tc>
      </w:tr>
      <w:tr>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L6</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قاعدة الحقائق</w:t>
            </w:r>
          </w:p>
        </w:tc>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دائمة</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Vector Embeddings</w:t>
            </w:r>
          </w:p>
        </w:tc>
        <w:tc>
          <w:tcPr>
            <w:tcW w:type="dxa" w:w="1805"/>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البصمات السلوكية والمبادئ</w:t>
            </w:r>
          </w:p>
        </w:tc>
      </w:tr>
    </w:tbl>
    <w:p>
      <w:pPr>
        <w:spacing w:before="120"/>
      </w:pPr>
      <w:r>
        <w:t xml:space="preserve"/>
      </w:r>
    </w:p>
    <w:p>
      <w:pPr>
        <w:bidi/>
        <w:spacing w:before="80" w:after="80"/>
        <w:jc w:val="right"/>
      </w:pPr>
      <w:r>
        <w:rPr>
          <w:rFonts w:ascii="Arial" w:cs="Arial" w:eastAsia="Arial" w:hAnsi="Arial"/>
          <w:sz w:val="22"/>
          <w:szCs w:val="22"/>
          <w:rtl/>
        </w:rPr>
        <w:t xml:space="preserve">والأهم أن هذه الطبقات تشكّل حلقة مغلقة — الطبقة الأرشيفية تُغذّي الطبقة الفورية مجدداً، مما يضمن أن الأنماط المؤسسية طويلة الأمد تُعلم التفكير الآني. هذه المعمارية الدائرية تمنع انهيار السياق وتلغي مشكلة إعادة الضبط بين الجلسات التي تُعاني منها جميع نشرات نماذج اللغة الكبيرة الحالية.</w:t>
      </w:r>
    </w:p>
    <w:p>
      <w:pPr>
        <w:pStyle w:val="Heading2"/>
        <w:bidi/>
        <w:spacing w:before="240" w:after="120"/>
        <w:jc w:val="right"/>
      </w:pPr>
      <w:r>
        <w:rPr>
          <w:rFonts w:ascii="Arial" w:cs="Arial" w:eastAsia="Arial" w:hAnsi="Arial"/>
          <w:b/>
          <w:bCs/>
          <w:color w:val="2E6DA4"/>
          <w:sz w:val="26"/>
          <w:szCs w:val="26"/>
          <w:rtl/>
        </w:rPr>
        <w:t xml:space="preserve">٢.٣ الذاكرة كآلية تفكير لا كتخزين</w:t>
      </w:r>
    </w:p>
    <w:p>
      <w:pPr>
        <w:bidi/>
        <w:spacing w:before="80" w:after="80"/>
        <w:jc w:val="right"/>
      </w:pPr>
      <w:r>
        <w:rPr>
          <w:rFonts w:ascii="Arial" w:cs="Arial" w:eastAsia="Arial" w:hAnsi="Arial"/>
          <w:sz w:val="22"/>
          <w:szCs w:val="22"/>
          <w:rtl/>
        </w:rPr>
        <w:t xml:space="preserve">التمييز الجوهري لهذه المعمارية هو أن الطبقات الهرمية ليست قاعدة بيانات — إنها آلية تفكير. كل مدخل جديد لا يُخزَّن فحسب؛ بل يُصنَّف ويُسيَّق ويُدمج في الطبقة الإدراكية المناسبة بناءً على التحليل الدلالي والأهمية الزمنية. تستعلم عملية الاستدلال بشكل نشط من طبقات متعددة في آنٍ واحد، مع ترجيح الاستجابات بناءً على درجات الثقة المستمدة من فحص الاتساق عبر الطبقات.</w:t>
      </w:r>
    </w:p>
    <w:p>
      <w:pPr>
        <w:pBdr>
          <w:bottom w:val="single" w:color="2E6DA4" w:sz="4" w:space="1"/>
        </w:pBdr>
        <w:bidi/>
        <w:spacing w:before="120" w:after="120"/>
      </w:pPr>
      <w:r>
        <w:t xml:space="preserve"/>
      </w:r>
    </w:p>
    <w:p>
      <w:pPr>
        <w:pStyle w:val="Heading1"/>
        <w:bidi/>
        <w:spacing w:before="360" w:after="180"/>
        <w:jc w:val="right"/>
      </w:pPr>
      <w:r>
        <w:rPr>
          <w:rFonts w:ascii="Arial" w:cs="Arial" w:eastAsia="Arial" w:hAnsi="Arial"/>
          <w:b/>
          <w:bCs/>
          <w:color w:val="1A3A5C"/>
          <w:sz w:val="32"/>
          <w:szCs w:val="32"/>
          <w:rtl/>
        </w:rPr>
        <w:t xml:space="preserve">٣. محرك التصحيح الذاتي ومكافحة الهلوسة</w:t>
      </w:r>
    </w:p>
    <w:p>
      <w:pPr>
        <w:pStyle w:val="Heading2"/>
        <w:bidi/>
        <w:spacing w:before="240" w:after="120"/>
        <w:jc w:val="right"/>
      </w:pPr>
      <w:r>
        <w:rPr>
          <w:rFonts w:ascii="Arial" w:cs="Arial" w:eastAsia="Arial" w:hAnsi="Arial"/>
          <w:b/>
          <w:bCs/>
          <w:color w:val="2E6DA4"/>
          <w:sz w:val="26"/>
          <w:szCs w:val="26"/>
          <w:rtl/>
        </w:rPr>
        <w:t xml:space="preserve">٣.١ التصحيح ثنائي المصدر</w:t>
      </w:r>
    </w:p>
    <w:p>
      <w:pPr>
        <w:bidi/>
        <w:spacing w:before="80" w:after="80"/>
        <w:jc w:val="right"/>
      </w:pPr>
      <w:r>
        <w:rPr>
          <w:rFonts w:ascii="Arial" w:cs="Arial" w:eastAsia="Arial" w:hAnsi="Arial"/>
          <w:sz w:val="22"/>
          <w:szCs w:val="22"/>
          <w:rtl/>
        </w:rPr>
        <w:t xml:space="preserve">تُنفّذ المعمارية آلية تصحيح ذاتي ثنائية المصدر تعالج الهلوسة على مستويين في آنٍ واحد:</w:t>
      </w:r>
    </w:p>
    <w:p>
      <w:pPr>
        <w:pStyle w:val="ListParagraph"/>
        <w:numPr>
          <w:ilvl w:val="0"/>
          <w:numId w:val="2"/>
        </w:numPr>
        <w:bidi/>
        <w:spacing w:before="60" w:after="60"/>
        <w:jc w:val="right"/>
      </w:pPr>
      <w:r>
        <w:rPr>
          <w:rFonts w:ascii="Arial" w:cs="Arial" w:eastAsia="Arial" w:hAnsi="Arial"/>
          <w:sz w:val="22"/>
          <w:szCs w:val="22"/>
          <w:rtl/>
        </w:rPr>
        <w:t xml:space="preserve">الكشف الداخلي عن التناقضات: يراقب MemoryCore المخرجات باستمرار بحثاً عن تناقضات دلالية مع المعرفة المخزنة عبر جميع الطبقات الست. عند تعارض مخرج ما مع معلومة في أي طبقة، يُطلَق إشارة تصحيح قبل اكتمال الاستجابة.</w:t>
      </w:r>
    </w:p>
    <w:p>
      <w:pPr>
        <w:pStyle w:val="ListParagraph"/>
        <w:numPr>
          <w:ilvl w:val="0"/>
          <w:numId w:val="2"/>
        </w:numPr>
        <w:bidi/>
        <w:spacing w:before="60" w:after="60"/>
        <w:jc w:val="right"/>
      </w:pPr>
      <w:r>
        <w:rPr>
          <w:rFonts w:ascii="Arial" w:cs="Arial" w:eastAsia="Arial" w:hAnsi="Arial"/>
          <w:sz w:val="22"/>
          <w:szCs w:val="22"/>
          <w:rtl/>
        </w:rPr>
        <w:t xml:space="preserve">دمج التغذية الراجعة الخارجية: تُلتقط التصحيحات البشرية وإشارات نتائج العالم الواقعي وتُدمج في الهرم المعرفي في الوقت الفعلي، مع تحديث أوزان الطبقات ودرجات الثقة ديناميكياً.</w:t>
      </w:r>
    </w:p>
    <w:p>
      <w:pPr>
        <w:pStyle w:val="Heading2"/>
        <w:bidi/>
        <w:spacing w:before="240" w:after="120"/>
        <w:jc w:val="right"/>
      </w:pPr>
      <w:r>
        <w:rPr>
          <w:rFonts w:ascii="Arial" w:cs="Arial" w:eastAsia="Arial" w:hAnsi="Arial"/>
          <w:b/>
          <w:bCs/>
          <w:color w:val="2E6DA4"/>
          <w:sz w:val="26"/>
          <w:szCs w:val="26"/>
          <w:rtl/>
        </w:rPr>
        <w:t xml:space="preserve">٣.٢ منسق MemoryCore</w:t>
      </w:r>
    </w:p>
    <w:p>
      <w:pPr>
        <w:bidi/>
        <w:spacing w:before="80" w:after="80"/>
        <w:jc w:val="right"/>
      </w:pPr>
      <w:r>
        <w:rPr>
          <w:rFonts w:ascii="Arial" w:cs="Arial" w:eastAsia="Arial" w:hAnsi="Arial"/>
          <w:sz w:val="22"/>
          <w:szCs w:val="22"/>
          <w:rtl/>
        </w:rPr>
        <w:t xml:space="preserve">المكوّن المركزي للمعمارية هو MemoryCore — وحدة التنسيق التي تدير جميع الطبقات الست، ومحرك التصحيح الذاتي، ومدير التعلم التكيفي، ومراقب الأداء. جميع المكونات تعمل بنسب ديناميكية لا ثوابت محددة، بمعنى أن الوزن النسبي المعطى لكل طبقة ذاكرة وإشارة تصحيح وتحديث تعلّم يُعاد حسابه باستمرار بناءً على مقاييس أداء النظام الراهنة.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4513"/>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المكوّن</w:t>
            </w:r>
          </w:p>
        </w:tc>
        <w:tc>
          <w:tcPr>
            <w:tcW w:type="dxa" w:w="4513"/>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الوظيفة</w:t>
            </w:r>
          </w:p>
        </w:tc>
      </w:tr>
      <w:tr>
        <w:tc>
          <w:tcPr>
            <w:tcW w:type="dxa" w:w="45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المراقب الخارجي</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يرصد المخرجات ويكتشف الانحرافات عن الحقائق المعروفة</w:t>
            </w:r>
          </w:p>
        </w:tc>
      </w:tr>
      <w:tr>
        <w:tc>
          <w:tcPr>
            <w:tcW w:type="dxa" w:w="45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مدير التعلم العميق</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يدير الضبط الدقيق الآني دون نسيان كارثي</w:t>
            </w:r>
          </w:p>
        </w:tc>
      </w:tr>
      <w:tr>
        <w:tc>
          <w:tcPr>
            <w:tcW w:type="dxa" w:w="45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مقيّم الأداء</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يقيس الدقة ويُطلق دورات التصحيح</w:t>
            </w:r>
          </w:p>
        </w:tc>
      </w:tr>
      <w:tr>
        <w:tc>
          <w:tcPr>
            <w:tcW w:type="dxa" w:w="45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بانى المعرفة</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يدمج المعرفة المؤسسية الجديدة باستمرار</w:t>
            </w:r>
          </w:p>
        </w:tc>
      </w:tr>
      <w:tr>
        <w:tc>
          <w:tcPr>
            <w:tcW w:type="dxa" w:w="45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المنسق الديناميكي</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ينسّق جميع المكونات بنسب تكيفية</w:t>
            </w:r>
          </w:p>
        </w:tc>
      </w:tr>
    </w:tbl>
    <w:p>
      <w:pPr>
        <w:spacing w:before="120"/>
      </w:pPr>
      <w:r>
        <w:t xml:space="preserve"/>
      </w:r>
    </w:p>
    <w:p>
      <w:pPr>
        <w:pStyle w:val="Heading2"/>
        <w:bidi/>
        <w:spacing w:before="240" w:after="120"/>
        <w:jc w:val="right"/>
      </w:pPr>
      <w:r>
        <w:rPr>
          <w:rFonts w:ascii="Arial" w:cs="Arial" w:eastAsia="Arial" w:hAnsi="Arial"/>
          <w:b/>
          <w:bCs/>
          <w:color w:val="2E6DA4"/>
          <w:sz w:val="26"/>
          <w:szCs w:val="26"/>
          <w:rtl/>
        </w:rPr>
        <w:t xml:space="preserve">٣.٣ التدريب المستمر بلا نسيان</w:t>
      </w:r>
    </w:p>
    <w:p>
      <w:pPr>
        <w:bidi/>
        <w:spacing w:before="80" w:after="80"/>
        <w:jc w:val="right"/>
      </w:pPr>
      <w:r>
        <w:rPr>
          <w:rFonts w:ascii="Arial" w:cs="Arial" w:eastAsia="Arial" w:hAnsi="Arial"/>
          <w:sz w:val="22"/>
          <w:szCs w:val="22"/>
          <w:rtl/>
        </w:rPr>
        <w:t xml:space="preserve">تعالج المعمارية النسيان الكارثي من خلال بيئة ضبط دقيق مستمرة تعمل جنباً إلى جنب مع النموذج الأساسي — لا بديلاً عنه. بدلاً من إعادة تدريب النموذج بالكامل دورياً، يحتفظ النظام بطبقة تكيفية موازية تستوعب المعرفة المؤسسية الجديدة بينما تظل أوزان النموذج الأساسي محفوظة. هذا الفصل يتيح للنظام التعلم من التفاعلات اليومية للفريق دون خطر الكتابة فوق المعرفة التأسيسية.</w:t>
      </w:r>
    </w:p>
    <w:p>
      <w:pPr>
        <w:pBdr>
          <w:bottom w:val="single" w:color="2E6DA4" w:sz="4" w:space="1"/>
        </w:pBdr>
        <w:bidi/>
        <w:spacing w:before="120" w:after="120"/>
      </w:pPr>
      <w:r>
        <w:t xml:space="preserve"/>
      </w:r>
    </w:p>
    <w:p>
      <w:pPr>
        <w:pStyle w:val="Heading1"/>
        <w:bidi/>
        <w:spacing w:before="360" w:after="180"/>
        <w:jc w:val="right"/>
      </w:pPr>
      <w:r>
        <w:rPr>
          <w:rFonts w:ascii="Arial" w:cs="Arial" w:eastAsia="Arial" w:hAnsi="Arial"/>
          <w:b/>
          <w:bCs/>
          <w:color w:val="1A3A5C"/>
          <w:sz w:val="32"/>
          <w:szCs w:val="32"/>
          <w:rtl/>
        </w:rPr>
        <w:t xml:space="preserve">٤. النسب الديناميكية: الابتكار الجوهري</w:t>
      </w:r>
    </w:p>
    <w:p>
      <w:pPr>
        <w:bidi/>
        <w:spacing w:before="80" w:after="80"/>
        <w:jc w:val="right"/>
      </w:pPr>
      <w:r>
        <w:rPr>
          <w:rFonts w:ascii="Arial" w:cs="Arial" w:eastAsia="Arial" w:hAnsi="Arial"/>
          <w:sz w:val="22"/>
          <w:szCs w:val="22"/>
          <w:rtl/>
        </w:rPr>
        <w:t xml:space="preserve">السمة الأكثر تميزاً في هذه المعمارية هي رفضها للمعاملات الثابتة. جميع معاملات النظام — أوزان طبقات الذاكرة، وعتبات التصحيح، ومعدلات التعلم، ودرجات الثقة — تحكمها نسب ديناميكية تُعاد حسابها باستمرار بناءً على:</w:t>
      </w:r>
    </w:p>
    <w:p>
      <w:pPr>
        <w:pStyle w:val="ListParagraph"/>
        <w:numPr>
          <w:ilvl w:val="0"/>
          <w:numId w:val="2"/>
        </w:numPr>
        <w:bidi/>
        <w:spacing w:before="60" w:after="60"/>
        <w:jc w:val="right"/>
      </w:pPr>
      <w:r>
        <w:rPr>
          <w:rFonts w:ascii="Arial" w:cs="Arial" w:eastAsia="Arial" w:hAnsi="Arial"/>
          <w:sz w:val="22"/>
          <w:szCs w:val="22"/>
          <w:rtl/>
        </w:rPr>
        <w:t xml:space="preserve">مقاييس الأداء الآني من مقيّم الأداء</w:t>
      </w:r>
    </w:p>
    <w:p>
      <w:pPr>
        <w:pStyle w:val="ListParagraph"/>
        <w:numPr>
          <w:ilvl w:val="0"/>
          <w:numId w:val="2"/>
        </w:numPr>
        <w:bidi/>
        <w:spacing w:before="60" w:after="60"/>
        <w:jc w:val="right"/>
      </w:pPr>
      <w:r>
        <w:rPr>
          <w:rFonts w:ascii="Arial" w:cs="Arial" w:eastAsia="Arial" w:hAnsi="Arial"/>
          <w:sz w:val="22"/>
          <w:szCs w:val="22"/>
          <w:rtl/>
        </w:rPr>
        <w:t xml:space="preserve">درجات الاتساق عبر الطبقات من MemoryCore</w:t>
      </w:r>
    </w:p>
    <w:p>
      <w:pPr>
        <w:pStyle w:val="ListParagraph"/>
        <w:numPr>
          <w:ilvl w:val="0"/>
          <w:numId w:val="2"/>
        </w:numPr>
        <w:bidi/>
        <w:spacing w:before="60" w:after="60"/>
        <w:jc w:val="right"/>
      </w:pPr>
      <w:r>
        <w:rPr>
          <w:rFonts w:ascii="Arial" w:cs="Arial" w:eastAsia="Arial" w:hAnsi="Arial"/>
          <w:sz w:val="22"/>
          <w:szCs w:val="22"/>
          <w:rtl/>
        </w:rPr>
        <w:t xml:space="preserve">إشارات التغذية الراجعة الخارجية من المشغلين البشريين</w:t>
      </w:r>
    </w:p>
    <w:p>
      <w:pPr>
        <w:pStyle w:val="ListParagraph"/>
        <w:numPr>
          <w:ilvl w:val="0"/>
          <w:numId w:val="2"/>
        </w:numPr>
        <w:bidi/>
        <w:spacing w:before="60" w:after="60"/>
        <w:jc w:val="right"/>
      </w:pPr>
      <w:r>
        <w:rPr>
          <w:rFonts w:ascii="Arial" w:cs="Arial" w:eastAsia="Arial" w:hAnsi="Arial"/>
          <w:sz w:val="22"/>
          <w:szCs w:val="22"/>
          <w:rtl/>
        </w:rPr>
        <w:t xml:space="preserve">قياسات جودة المخرجات مقابل الحقائق الموثقة</w:t>
      </w:r>
    </w:p>
    <w:p>
      <w:pPr>
        <w:bidi/>
        <w:spacing w:before="80" w:after="80"/>
        <w:jc w:val="right"/>
      </w:pPr>
      <w:r>
        <w:rPr>
          <w:rFonts w:ascii="Arial" w:cs="Arial" w:eastAsia="Arial" w:hAnsi="Arial"/>
          <w:sz w:val="22"/>
          <w:szCs w:val="22"/>
          <w:rtl/>
        </w:rPr>
        <w:t xml:space="preserve">هذا يعني أن النظام لا يملك نقطة ارتكاز ثابتة — الثابت الوحيد هو جودة المخرج النهائي كما يُقاس بالنتائج الواقعية. النظام يوجّه نفسه نحو الدقة مستخدماً النتائج الفعلية بوصلةً له، لا قواعد محددة مسبقاً. هذا يحاكي الآلية التي تحافظ بها الأنظمة الإدراكية البيولوجية على استقرارها مع التكيف المستمر.</w:t>
      </w:r>
    </w:p>
    <w:p>
      <w:pPr>
        <w:pBdr>
          <w:bottom w:val="single" w:color="2E6DA4" w:sz="4" w:space="1"/>
        </w:pBdr>
        <w:bidi/>
        <w:spacing w:before="120" w:after="120"/>
      </w:pPr>
      <w:r>
        <w:t xml:space="preserve"/>
      </w:r>
    </w:p>
    <w:p>
      <w:pPr>
        <w:pStyle w:val="Heading1"/>
        <w:bidi/>
        <w:spacing w:before="360" w:after="180"/>
        <w:jc w:val="right"/>
      </w:pPr>
      <w:r>
        <w:rPr>
          <w:rFonts w:ascii="Arial" w:cs="Arial" w:eastAsia="Arial" w:hAnsi="Arial"/>
          <w:b/>
          <w:bCs/>
          <w:color w:val="1A3A5C"/>
          <w:sz w:val="32"/>
          <w:szCs w:val="32"/>
          <w:rtl/>
        </w:rPr>
        <w:t xml:space="preserve">٥. المعمارية الهجينة: ذكاء داخلي + معرفة خارجية</w:t>
      </w:r>
    </w:p>
    <w:p>
      <w:pPr>
        <w:pStyle w:val="Heading2"/>
        <w:bidi/>
        <w:spacing w:before="240" w:after="120"/>
        <w:jc w:val="right"/>
      </w:pPr>
      <w:r>
        <w:rPr>
          <w:rFonts w:ascii="Arial" w:cs="Arial" w:eastAsia="Arial" w:hAnsi="Arial"/>
          <w:b/>
          <w:bCs/>
          <w:color w:val="2E6DA4"/>
          <w:sz w:val="26"/>
          <w:szCs w:val="26"/>
          <w:rtl/>
        </w:rPr>
        <w:t xml:space="preserve">٥.١ الوحدة الداخلية (On-Premise)</w:t>
      </w:r>
    </w:p>
    <w:p>
      <w:pPr>
        <w:bidi/>
        <w:spacing w:before="80" w:after="80"/>
        <w:jc w:val="right"/>
      </w:pPr>
      <w:r>
        <w:rPr>
          <w:rFonts w:ascii="Arial" w:cs="Arial" w:eastAsia="Arial" w:hAnsi="Arial"/>
          <w:sz w:val="22"/>
          <w:szCs w:val="22"/>
          <w:rtl/>
        </w:rPr>
        <w:t xml:space="preserve">تتولى الوحدة الداخلية 80–90% من جميع العمليات داخلياً بالكامل. تحتوي على الهرم الست الطبقات، ومنسق MemoryCore، ومحرك التصحيح الذاتي، والنموذج التوليدي المحلي (حالياً Qwen 2.5). البيانات المؤسسية الحساسة لا تغادر هذه الوحدة أبداً.</w:t>
      </w:r>
    </w:p>
    <w:p>
      <w:pPr>
        <w:pStyle w:val="Heading2"/>
        <w:bidi/>
        <w:spacing w:before="240" w:after="120"/>
        <w:jc w:val="right"/>
      </w:pPr>
      <w:r>
        <w:rPr>
          <w:rFonts w:ascii="Arial" w:cs="Arial" w:eastAsia="Arial" w:hAnsi="Arial"/>
          <w:b/>
          <w:bCs/>
          <w:color w:val="2E6DA4"/>
          <w:sz w:val="26"/>
          <w:szCs w:val="26"/>
          <w:rtl/>
        </w:rPr>
        <w:t xml:space="preserve">٥.٢ الوكلاء الخارجيون (السحابة)</w:t>
      </w:r>
    </w:p>
    <w:p>
      <w:pPr>
        <w:bidi/>
        <w:spacing w:before="80" w:after="80"/>
        <w:jc w:val="right"/>
      </w:pPr>
      <w:r>
        <w:rPr>
          <w:rFonts w:ascii="Arial" w:cs="Arial" w:eastAsia="Arial" w:hAnsi="Arial"/>
          <w:sz w:val="22"/>
          <w:szCs w:val="22"/>
          <w:rtl/>
        </w:rPr>
        <w:t xml:space="preserve">تتصل طبقة الوكيل الخارجي بما يصل إلى أحد عشر مزوداً عالمياً للذكاء الاصطناعي للتعزيز بالمعرفة العامة فقط — وليس لمعالجة البيانات الحساسة قط. يُسهم هؤلاء المزودون بـ10–20% من إجمالي عمل النظام، مقيّدين صارماً بالاستفسارات غير الحساسة حيث تكون المعرفة العامة مطلوبة.</w:t>
      </w:r>
    </w:p>
    <w:p>
      <w:pPr>
        <w:pBdr>
          <w:bottom w:val="single" w:color="2E6DA4" w:sz="4" w:space="1"/>
        </w:pBdr>
        <w:bidi/>
        <w:spacing w:before="120" w:after="120"/>
      </w:pPr>
      <w:r>
        <w:t xml:space="preserve"/>
      </w:r>
    </w:p>
    <w:p>
      <w:pPr>
        <w:pStyle w:val="Heading1"/>
        <w:bidi/>
        <w:spacing w:before="360" w:after="180"/>
        <w:jc w:val="right"/>
      </w:pPr>
      <w:r>
        <w:rPr>
          <w:rFonts w:ascii="Arial" w:cs="Arial" w:eastAsia="Arial" w:hAnsi="Arial"/>
          <w:b/>
          <w:bCs/>
          <w:color w:val="1A3A5C"/>
          <w:sz w:val="32"/>
          <w:szCs w:val="32"/>
          <w:rtl/>
        </w:rPr>
        <w:t xml:space="preserve">٦. الامتثال والإطار الأخلاقي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4513"/>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المعيار</w:t>
            </w:r>
          </w:p>
        </w:tc>
        <w:tc>
          <w:tcPr>
            <w:tcW w:type="dxa" w:w="4513"/>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التطبيق</w:t>
            </w:r>
          </w:p>
        </w:tc>
      </w:tr>
      <w:tr>
        <w:tc>
          <w:tcPr>
            <w:tcW w:type="dxa" w:w="45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نظام حماية البيانات الشخصية PDPL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إقامة البيانات 100% داخل المملكة العربية السعودية</w:t>
            </w:r>
          </w:p>
        </w:tc>
      </w:tr>
      <w:tr>
        <w:tc>
          <w:tcPr>
            <w:tcW w:type="dxa" w:w="45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لوائح SDAIA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التوافق الكامل مع إطار حوكمة الذكاء الاصطناعي السعودي</w:t>
            </w:r>
          </w:p>
        </w:tc>
      </w:tr>
      <w:tr>
        <w:tc>
          <w:tcPr>
            <w:tcW w:type="dxa" w:w="45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امتثال SAMA المالي</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التوافق مع متطلبات البنك المركزي السعودي للذكاء الاصطناعي</w:t>
            </w:r>
          </w:p>
        </w:tc>
      </w:tr>
      <w:tr>
        <w:tc>
          <w:tcPr>
            <w:tcW w:type="dxa" w:w="45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ISO 27001</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امتثال إدارة أمن المعلومات</w:t>
            </w:r>
          </w:p>
        </w:tc>
      </w:tr>
      <w:tr>
        <w:tc>
          <w:tcPr>
            <w:tcW w:type="dxa" w:w="45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GDPR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الالتزام بمعيار الخصوصية الدولي</w:t>
            </w:r>
          </w:p>
        </w:tc>
      </w:tr>
      <w:tr>
        <w:tc>
          <w:tcPr>
            <w:tcW w:type="dxa" w:w="45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الإطار الأخلاقي الإسلامي</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فلترة محتوى مدمجة متوافقة مع القيم الإسلامية</w:t>
            </w:r>
          </w:p>
        </w:tc>
      </w:tr>
    </w:tbl>
    <w:p>
      <w:pPr>
        <w:spacing w:before="120"/>
      </w:pPr>
      <w:r>
        <w:t xml:space="preserve"/>
      </w:r>
    </w:p>
    <w:p>
      <w:pPr>
        <w:pBdr>
          <w:bottom w:val="single" w:color="2E6DA4" w:sz="4" w:space="1"/>
        </w:pBdr>
        <w:bidi/>
        <w:spacing w:before="120" w:after="120"/>
      </w:pPr>
      <w:r>
        <w:t xml:space="preserve"/>
      </w:r>
    </w:p>
    <w:p>
      <w:pPr>
        <w:pStyle w:val="Heading1"/>
        <w:bidi/>
        <w:spacing w:before="360" w:after="180"/>
        <w:jc w:val="right"/>
      </w:pPr>
      <w:r>
        <w:rPr>
          <w:rFonts w:ascii="Arial" w:cs="Arial" w:eastAsia="Arial" w:hAnsi="Arial"/>
          <w:b/>
          <w:bCs/>
          <w:color w:val="1A3A5C"/>
          <w:sz w:val="32"/>
          <w:szCs w:val="32"/>
          <w:rtl/>
        </w:rPr>
        <w:t xml:space="preserve">٧. التمايز عن المقاربات الحالية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0"/>
        <w:gridCol w:w="1690"/>
        <w:gridCol w:w="3390"/>
      </w:tblGrid>
      <w:tr>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البُعد</w:t>
            </w:r>
          </w:p>
        </w:tc>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RAG</w:t>
            </w:r>
          </w:p>
        </w:tc>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الضبط الدقيق</w:t>
            </w:r>
          </w:p>
        </w:tc>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معمارية ديواني</w:t>
            </w:r>
          </w:p>
        </w:tc>
      </w:tr>
      <w:tr>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نوع الذاكرة</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استرجاع فقط</w:t>
            </w:r>
          </w:p>
        </w:tc>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معاملات ثابتة</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هرم إدراكي 6 طبقات</w:t>
            </w:r>
          </w:p>
        </w:tc>
      </w:tr>
      <w:tr>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معالجة الهلوسة</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جزئية</w:t>
            </w:r>
          </w:p>
        </w:tc>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جزئية</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تصحيح ذاتي ثنائي المصدر</w:t>
            </w:r>
          </w:p>
        </w:tc>
      </w:tr>
      <w:tr>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النسيان الكارثي</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غير معالج</w:t>
            </w:r>
          </w:p>
        </w:tc>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المشكلة الأساسية</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ملغى بالتصميم</w:t>
            </w:r>
          </w:p>
        </w:tc>
      </w:tr>
      <w:tr>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التعلم المستمر</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لا</w:t>
            </w:r>
          </w:p>
        </w:tc>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مكلف جداً</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آني بلا إعادة تدريب</w:t>
            </w:r>
          </w:p>
        </w:tc>
      </w:tr>
      <w:tr>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سيادة البيانات</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حسب المزود</w:t>
            </w:r>
          </w:p>
        </w:tc>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حسب المزود</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100% داخلي</w:t>
            </w:r>
          </w:p>
        </w:tc>
      </w:tr>
      <w:tr>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التكيف الديناميكي</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لا</w:t>
            </w:r>
          </w:p>
        </w:tc>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لا</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جميع المعاملات ديناميكية</w:t>
            </w:r>
          </w:p>
        </w:tc>
      </w:tr>
      <w:tr>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استمرارية السياق</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الجلسة فقط</w:t>
            </w:r>
          </w:p>
        </w:tc>
        <w:tc>
          <w:tcPr>
            <w:tcW w:type="dxa" w:w="225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التدريب فقط</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222222"/>
                <w:sz w:val="20"/>
                <w:szCs w:val="20"/>
                <w:rtl/>
              </w:rPr>
              <w:t xml:space="preserve">ذاكرة دائمة 6 طبقات</w:t>
            </w:r>
          </w:p>
        </w:tc>
      </w:tr>
    </w:tbl>
    <w:p>
      <w:pPr>
        <w:spacing w:before="120"/>
      </w:pPr>
      <w:r>
        <w:t xml:space="preserve"/>
      </w:r>
    </w:p>
    <w:p>
      <w:pPr>
        <w:pBdr>
          <w:bottom w:val="single" w:color="2E6DA4" w:sz="4" w:space="1"/>
        </w:pBdr>
        <w:bidi/>
        <w:spacing w:before="120" w:after="120"/>
      </w:pPr>
      <w:r>
        <w:t xml:space="preserve"/>
      </w:r>
    </w:p>
    <w:p>
      <w:pPr>
        <w:pStyle w:val="Heading1"/>
        <w:bidi/>
        <w:spacing w:before="360" w:after="180"/>
        <w:jc w:val="right"/>
      </w:pPr>
      <w:r>
        <w:rPr>
          <w:rFonts w:ascii="Arial" w:cs="Arial" w:eastAsia="Arial" w:hAnsi="Arial"/>
          <w:b/>
          <w:bCs/>
          <w:color w:val="1A3A5C"/>
          <w:sz w:val="32"/>
          <w:szCs w:val="32"/>
          <w:rtl/>
        </w:rPr>
        <w:t xml:space="preserve">٨. حالة التطبيق</w:t>
      </w:r>
    </w:p>
    <w:p>
      <w:pPr>
        <w:bidi/>
        <w:spacing w:before="80" w:after="80"/>
        <w:jc w:val="right"/>
      </w:pPr>
      <w:r>
        <w:rPr>
          <w:rFonts w:ascii="Arial" w:cs="Arial" w:eastAsia="Arial" w:hAnsi="Arial"/>
          <w:sz w:val="22"/>
          <w:szCs w:val="22"/>
          <w:rtl/>
        </w:rPr>
        <w:t xml:space="preserve">نظام ديواني AI قيد التطوير والاختبار النشط حالياً. المكونات التالية مُنفَّذة وتعمل:</w:t>
      </w:r>
    </w:p>
    <w:p>
      <w:pPr>
        <w:pStyle w:val="ListParagraph"/>
        <w:numPr>
          <w:ilvl w:val="0"/>
          <w:numId w:val="2"/>
        </w:numPr>
        <w:bidi/>
        <w:spacing w:before="60" w:after="60"/>
        <w:jc w:val="right"/>
      </w:pPr>
      <w:r>
        <w:rPr>
          <w:rFonts w:ascii="Arial" w:cs="Arial" w:eastAsia="Arial" w:hAnsi="Arial"/>
          <w:sz w:val="22"/>
          <w:szCs w:val="22"/>
          <w:rtl/>
        </w:rPr>
        <w:t xml:space="preserve">نظام الذاكرة الهرمية من ست طبقات (جميع الطبقات تعمل)</w:t>
      </w:r>
    </w:p>
    <w:p>
      <w:pPr>
        <w:pStyle w:val="ListParagraph"/>
        <w:numPr>
          <w:ilvl w:val="0"/>
          <w:numId w:val="2"/>
        </w:numPr>
        <w:bidi/>
        <w:spacing w:before="60" w:after="60"/>
        <w:jc w:val="right"/>
      </w:pPr>
      <w:r>
        <w:rPr>
          <w:rFonts w:ascii="Arial" w:cs="Arial" w:eastAsia="Arial" w:hAnsi="Arial"/>
          <w:sz w:val="22"/>
          <w:szCs w:val="22"/>
          <w:rtl/>
        </w:rPr>
        <w:t xml:space="preserve">منسق MemoryCore مع خمسة مكونات فرعية</w:t>
      </w:r>
    </w:p>
    <w:p>
      <w:pPr>
        <w:pStyle w:val="ListParagraph"/>
        <w:numPr>
          <w:ilvl w:val="0"/>
          <w:numId w:val="2"/>
        </w:numPr>
        <w:bidi/>
        <w:spacing w:before="60" w:after="60"/>
        <w:jc w:val="right"/>
      </w:pPr>
      <w:r>
        <w:rPr>
          <w:rFonts w:ascii="Arial" w:cs="Arial" w:eastAsia="Arial" w:hAnsi="Arial"/>
          <w:sz w:val="22"/>
          <w:szCs w:val="22"/>
          <w:rtl/>
        </w:rPr>
        <w:t xml:space="preserve">تكامل النموذج التوليدي المحلي (Qwen 2.5:7b)</w:t>
      </w:r>
    </w:p>
    <w:p>
      <w:pPr>
        <w:pStyle w:val="ListParagraph"/>
        <w:numPr>
          <w:ilvl w:val="0"/>
          <w:numId w:val="2"/>
        </w:numPr>
        <w:bidi/>
        <w:spacing w:before="60" w:after="60"/>
        <w:jc w:val="right"/>
      </w:pPr>
      <w:r>
        <w:rPr>
          <w:rFonts w:ascii="Arial" w:cs="Arial" w:eastAsia="Arial" w:hAnsi="Arial"/>
          <w:sz w:val="22"/>
          <w:szCs w:val="22"/>
          <w:rtl/>
        </w:rPr>
        <w:t xml:space="preserve">محرك المعرفة مع 38 ذرة معرفية نشطة</w:t>
      </w:r>
    </w:p>
    <w:p>
      <w:pPr>
        <w:pStyle w:val="ListParagraph"/>
        <w:numPr>
          <w:ilvl w:val="0"/>
          <w:numId w:val="2"/>
        </w:numPr>
        <w:bidi/>
        <w:spacing w:before="60" w:after="60"/>
        <w:jc w:val="right"/>
      </w:pPr>
      <w:r>
        <w:rPr>
          <w:rFonts w:ascii="Arial" w:cs="Arial" w:eastAsia="Arial" w:hAnsi="Arial"/>
          <w:sz w:val="22"/>
          <w:szCs w:val="22"/>
          <w:rtl/>
        </w:rPr>
        <w:t xml:space="preserve">طبقة الذاكرة مع 10 مكونات نشطة</w:t>
      </w:r>
    </w:p>
    <w:p>
      <w:pPr>
        <w:pStyle w:val="ListParagraph"/>
        <w:numPr>
          <w:ilvl w:val="0"/>
          <w:numId w:val="2"/>
        </w:numPr>
        <w:bidi/>
        <w:spacing w:before="60" w:after="60"/>
        <w:jc w:val="right"/>
      </w:pPr>
      <w:r>
        <w:rPr>
          <w:rFonts w:ascii="Arial" w:cs="Arial" w:eastAsia="Arial" w:hAnsi="Arial"/>
          <w:sz w:val="22"/>
          <w:szCs w:val="22"/>
          <w:rtl/>
        </w:rPr>
        <w:t xml:space="preserve">محرك التصحيح الذاتي بهدف دقة 80%</w:t>
      </w:r>
    </w:p>
    <w:p>
      <w:pPr>
        <w:pStyle w:val="ListParagraph"/>
        <w:numPr>
          <w:ilvl w:val="0"/>
          <w:numId w:val="2"/>
        </w:numPr>
        <w:bidi/>
        <w:spacing w:before="60" w:after="60"/>
        <w:jc w:val="right"/>
      </w:pPr>
      <w:r>
        <w:rPr>
          <w:rFonts w:ascii="Arial" w:cs="Arial" w:eastAsia="Arial" w:hAnsi="Arial"/>
          <w:sz w:val="22"/>
          <w:szCs w:val="22"/>
          <w:rtl/>
        </w:rPr>
        <w:t xml:space="preserve">البحث الدلالي عبر Vector Embeddings</w:t>
      </w:r>
    </w:p>
    <w:p>
      <w:pPr>
        <w:pStyle w:val="ListParagraph"/>
        <w:numPr>
          <w:ilvl w:val="0"/>
          <w:numId w:val="2"/>
        </w:numPr>
        <w:bidi/>
        <w:spacing w:before="60" w:after="60"/>
        <w:jc w:val="right"/>
      </w:pPr>
      <w:r>
        <w:rPr>
          <w:rFonts w:ascii="Arial" w:cs="Arial" w:eastAsia="Arial" w:hAnsi="Arial"/>
          <w:sz w:val="22"/>
          <w:szCs w:val="22"/>
          <w:rtl/>
        </w:rPr>
        <w:t xml:space="preserve">المعمارية الهجينة داخلي/خارجي</w:t>
      </w:r>
    </w:p>
    <w:p>
      <w:pPr>
        <w:pStyle w:val="ListParagraph"/>
        <w:numPr>
          <w:ilvl w:val="0"/>
          <w:numId w:val="2"/>
        </w:numPr>
        <w:bidi/>
        <w:spacing w:before="60" w:after="60"/>
        <w:jc w:val="right"/>
      </w:pPr>
      <w:r>
        <w:rPr>
          <w:rFonts w:ascii="Arial" w:cs="Arial" w:eastAsia="Arial" w:hAnsi="Arial"/>
          <w:sz w:val="22"/>
          <w:szCs w:val="22"/>
          <w:rtl/>
        </w:rPr>
        <w:t xml:space="preserve">فلترة محتوى الإطار الأخلاقي الإسلامي</w:t>
      </w:r>
    </w:p>
    <w:p>
      <w:pPr>
        <w:pStyle w:val="ListParagraph"/>
        <w:numPr>
          <w:ilvl w:val="0"/>
          <w:numId w:val="2"/>
        </w:numPr>
        <w:bidi/>
        <w:spacing w:before="60" w:after="60"/>
        <w:jc w:val="right"/>
      </w:pPr>
      <w:r>
        <w:rPr>
          <w:rFonts w:ascii="Arial" w:cs="Arial" w:eastAsia="Arial" w:hAnsi="Arial"/>
          <w:sz w:val="22"/>
          <w:szCs w:val="22"/>
          <w:rtl/>
        </w:rPr>
        <w:t xml:space="preserve">معالجة البيانات المتوافقة مع PDPL</w:t>
      </w:r>
    </w:p>
    <w:p>
      <w:pPr>
        <w:bidi/>
        <w:spacing w:before="80" w:after="80"/>
        <w:jc w:val="right"/>
      </w:pPr>
      <w:r>
        <w:rPr>
          <w:rFonts w:ascii="Arial" w:cs="Arial" w:eastAsia="Arial" w:hAnsi="Arial"/>
          <w:sz w:val="22"/>
          <w:szCs w:val="22"/>
          <w:rtl/>
        </w:rPr>
        <w:t xml:space="preserve">يركز التطوير الحالي على تحسين استقرار تفويض ERM، وتحسين خط أنابيب التدريب المستمر، والتحضير للنشر على بنية تحتية Mac Studio (128GB) وDGX Spark.</w:t>
      </w:r>
    </w:p>
    <w:p>
      <w:pPr>
        <w:pBdr>
          <w:bottom w:val="single" w:color="2E6DA4" w:sz="4" w:space="1"/>
        </w:pBdr>
        <w:bidi/>
        <w:spacing w:before="120" w:after="120"/>
      </w:pPr>
      <w:r>
        <w:t xml:space="preserve"/>
      </w:r>
    </w:p>
    <w:p>
      <w:pPr>
        <w:pStyle w:val="Heading1"/>
        <w:bidi/>
        <w:spacing w:before="360" w:after="180"/>
        <w:jc w:val="right"/>
      </w:pPr>
      <w:r>
        <w:rPr>
          <w:rFonts w:ascii="Arial" w:cs="Arial" w:eastAsia="Arial" w:hAnsi="Arial"/>
          <w:b/>
          <w:bCs/>
          <w:color w:val="1A3A5C"/>
          <w:sz w:val="32"/>
          <w:szCs w:val="32"/>
          <w:rtl/>
        </w:rPr>
        <w:t xml:space="preserve">٩. الخلاصة</w:t>
      </w:r>
    </w:p>
    <w:p>
      <w:pPr>
        <w:bidi/>
        <w:spacing w:before="80" w:after="80"/>
        <w:jc w:val="right"/>
      </w:pPr>
      <w:r>
        <w:rPr>
          <w:rFonts w:ascii="Arial" w:cs="Arial" w:eastAsia="Arial" w:hAnsi="Arial"/>
          <w:sz w:val="22"/>
          <w:szCs w:val="22"/>
          <w:rtl/>
        </w:rPr>
        <w:t xml:space="preserve">تمثل المعمارية الإدراكية لديواني مقاربة مختلفة جوهرياً للذكاء الاصطناعي المؤسسي — مقاربة تعالج السبب الجذري للهلوسة والنسيان والتحيز لا أعراضها. من خلال معاملة الذاكرة كآلية تفكير لا كنظام تخزين، وتطبيق معاملات ديناميكية لا ثابتة في كل مستوى، وتثبيت التصحيح الذاتي في جودة المخرج الواقعية لا في الاتساق الداخلي وحده، تقترب هذه المعمارية من نوع الذكاء المرتكز والتكيفي الذي يتطلبه النشر المؤسسي الجاد.</w:t>
      </w:r>
    </w:p>
    <w:p>
      <w:pPr>
        <w:bidi/>
        <w:spacing w:before="80" w:after="80"/>
        <w:jc w:val="right"/>
      </w:pPr>
      <w:r>
        <w:rPr>
          <w:rFonts w:ascii="Arial" w:cs="Arial" w:eastAsia="Arial" w:hAnsi="Arial"/>
          <w:sz w:val="22"/>
          <w:szCs w:val="22"/>
          <w:rtl/>
        </w:rPr>
        <w:t xml:space="preserve">هذه المعمارية ليست غلافاً حول النماذج القائمة. إنها طبقة إدراكية جديدة تنسّق النماذج القائمة مع الحفاظ على ذكائها المؤسسي الثابت وذاتي التصحيح — ذكاء ينمو مع المؤسسة التي يخدمها.</w:t>
      </w:r>
    </w:p>
    <w:p>
      <w:pPr>
        <w:bidi/>
        <w:spacing w:before="80" w:after="80"/>
        <w:jc w:val="right"/>
      </w:pPr>
      <w:r>
        <w:rPr>
          <w:rFonts w:ascii="Arial" w:cs="Arial" w:eastAsia="Arial" w:hAnsi="Arial"/>
          <w:sz w:val="22"/>
          <w:szCs w:val="22"/>
          <w:rtl/>
        </w:rPr>
        <w:t xml:space="preserve">تشكّل هذه الورقة التوثيق العام الرسمي الأول للمعمارية الإدراكية لديواني. التطبيق الأساسي قيد التطوير النشط منذ نوفمبر 2025، مع إصدار الكود في مستودع GitHub خاص (github.com/Diwani90/diwani_ai، أول commit: نوفمبر 2025).</w:t>
      </w:r>
    </w:p>
    <w:p>
      <w:pPr>
        <w:pBdr>
          <w:bottom w:val="single" w:color="2E6DA4" w:sz="4" w:space="1"/>
        </w:pBdr>
        <w:bidi/>
        <w:spacing w:before="120" w:after="120"/>
      </w:pPr>
      <w:r>
        <w:t xml:space="preserve"/>
      </w:r>
    </w:p>
    <w:p>
      <w:pPr>
        <w:pStyle w:val="Heading1"/>
        <w:bidi/>
        <w:spacing w:before="360" w:after="180"/>
        <w:jc w:val="right"/>
      </w:pPr>
      <w:r>
        <w:rPr>
          <w:rFonts w:ascii="Arial" w:cs="Arial" w:eastAsia="Arial" w:hAnsi="Arial"/>
          <w:b/>
          <w:bCs/>
          <w:color w:val="1A3A5C"/>
          <w:sz w:val="32"/>
          <w:szCs w:val="32"/>
          <w:rtl/>
        </w:rPr>
        <w:t xml:space="preserve">المراجع والفن السابق</w:t>
      </w:r>
    </w:p>
    <w:p>
      <w:pPr>
        <w:pStyle w:val="ListParagraph"/>
        <w:numPr>
          <w:ilvl w:val="0"/>
          <w:numId w:val="2"/>
        </w:numPr>
        <w:bidi/>
        <w:spacing w:before="60" w:after="60"/>
        <w:jc w:val="right"/>
      </w:pPr>
      <w:r>
        <w:rPr>
          <w:rFonts w:ascii="Arial" w:cs="Arial" w:eastAsia="Arial" w:hAnsi="Arial"/>
          <w:sz w:val="22"/>
          <w:szCs w:val="22"/>
          <w:rtl/>
        </w:rPr>
        <w:t xml:space="preserve">التوليد المعزز بالاسترجاع RAG (Lewis وآخرون، 2020) — يعالج ترسيخ المعرفة لكن لا يعالج النسيان الكارثي أو التكيف الديناميكي</w:t>
      </w:r>
    </w:p>
    <w:p>
      <w:pPr>
        <w:pStyle w:val="ListParagraph"/>
        <w:numPr>
          <w:ilvl w:val="0"/>
          <w:numId w:val="2"/>
        </w:numPr>
        <w:bidi/>
        <w:spacing w:before="60" w:after="60"/>
        <w:jc w:val="right"/>
      </w:pPr>
      <w:r>
        <w:rPr>
          <w:rFonts w:ascii="Arial" w:cs="Arial" w:eastAsia="Arial" w:hAnsi="Arial"/>
          <w:sz w:val="22"/>
          <w:szCs w:val="22"/>
          <w:rtl/>
        </w:rPr>
        <w:t xml:space="preserve">توطيد الأوزان المرنة EWC (Kirkpatrick وآخرون، 2017) — يعالج النسيان الكارثي في النماذج التمييزية لكن ليس في المعماريات التوليدية المفتوحة</w:t>
      </w:r>
    </w:p>
    <w:p>
      <w:pPr>
        <w:pStyle w:val="ListParagraph"/>
        <w:numPr>
          <w:ilvl w:val="0"/>
          <w:numId w:val="2"/>
        </w:numPr>
        <w:bidi/>
        <w:spacing w:before="60" w:after="60"/>
        <w:jc w:val="right"/>
      </w:pPr>
      <w:r>
        <w:rPr>
          <w:rFonts w:ascii="Arial" w:cs="Arial" w:eastAsia="Arial" w:hAnsi="Arial"/>
          <w:sz w:val="22"/>
          <w:szCs w:val="22"/>
          <w:rtl/>
        </w:rPr>
        <w:t xml:space="preserve">H-MEM الذاكرة الهرمية (arXiv 2507.22925، 2025) — تعالج كفاءة الاسترجاع لكن ليس تكامل الذاكرة مع الاستدلال كعملية إدراكية موحدة</w:t>
      </w:r>
    </w:p>
    <w:p>
      <w:pPr>
        <w:pStyle w:val="ListParagraph"/>
        <w:numPr>
          <w:ilvl w:val="0"/>
          <w:numId w:val="2"/>
        </w:numPr>
        <w:bidi/>
        <w:spacing w:before="60" w:after="60"/>
        <w:jc w:val="right"/>
      </w:pPr>
      <w:r>
        <w:rPr>
          <w:rFonts w:ascii="Arial" w:cs="Arial" w:eastAsia="Arial" w:hAnsi="Arial"/>
          <w:sz w:val="22"/>
          <w:szCs w:val="22"/>
          <w:rtl/>
        </w:rPr>
        <w:t xml:space="preserve">COLMA المعمارية الطبقية الإدراكية (arXiv 2509.13235، 2025) — تشترك في مفهوم الذاكرة الطبقية لكن تركز على تنسيق متعدد الوكلاء لا التصحيح الذاتي ومكافحة الهلوسة</w:t>
      </w:r>
    </w:p>
    <w:p>
      <w:pPr>
        <w:pStyle w:val="ListParagraph"/>
        <w:numPr>
          <w:ilvl w:val="0"/>
          <w:numId w:val="2"/>
        </w:numPr>
        <w:bidi/>
        <w:spacing w:before="60" w:after="60"/>
        <w:jc w:val="right"/>
      </w:pPr>
      <w:r>
        <w:rPr>
          <w:rFonts w:ascii="Arial" w:cs="Arial" w:eastAsia="Arial" w:hAnsi="Arial"/>
          <w:sz w:val="22"/>
          <w:szCs w:val="22"/>
          <w:rtl/>
        </w:rPr>
        <w:t xml:space="preserve">Titans + MIRAS (Google Research، ديسمبر 2025) — تقدم التذكر في وقت الاختبار لكن تعمل على مستوى معمارية النموذج لا كطبقة مؤسسية قابلة للنشر</w:t>
      </w:r>
    </w:p>
    <w:p>
      <w:pPr>
        <w:pStyle w:val="ListParagraph"/>
        <w:numPr>
          <w:ilvl w:val="0"/>
          <w:numId w:val="2"/>
        </w:numPr>
        <w:bidi/>
        <w:spacing w:before="60" w:after="60"/>
        <w:jc w:val="right"/>
      </w:pPr>
      <w:r>
        <w:rPr>
          <w:rFonts w:ascii="Arial" w:cs="Arial" w:eastAsia="Arial" w:hAnsi="Arial"/>
          <w:sz w:val="22"/>
          <w:szCs w:val="22"/>
          <w:rtl/>
        </w:rPr>
        <w:t xml:space="preserve">الذكاء العصبي-الرمزي (Garcez &amp; Lamb، 2009–2025) — يعالج الهلوسة من خلال الترسيخ الرمزي لكنه لا يوفر آلية الذاكرة التكيفية الديناميكية المقترحة هنا</w:t>
      </w:r>
    </w:p>
    <w:p>
      <w:pPr>
        <w:bidi/>
        <w:spacing w:before="80" w:after="80"/>
        <w:jc w:val="right"/>
      </w:pPr>
      <w:r>
        <w:rPr>
          <w:rFonts w:ascii="Arial" w:cs="Arial" w:eastAsia="Arial" w:hAnsi="Arial"/>
          <w:sz w:val="22"/>
          <w:szCs w:val="22"/>
          <w:rtl/>
        </w:rPr>
        <w:t xml:space="preserve">الإسهام المتميز لمعمارية ديواني هو تكامل الذاكرة الإدراكية الهرمية من ست طبقات، والتصحيح الذاتي ثنائي المصدر، والنسب الديناميكية الكاملة، والتعلم المستمر بلا إعادة تدريب — كنظام مؤسسي موحد قابل للنشر مع سيادة كاملة للبيانات وامتثال تنظيمي للسوق العربي.</w:t>
      </w:r>
    </w:p>
    <w:p>
      <w:pPr>
        <w:pBdr>
          <w:bottom w:val="single" w:color="2E6DA4" w:sz="4" w:space="1"/>
        </w:pBdr>
        <w:bidi/>
        <w:spacing w:before="120" w:after="120"/>
      </w:pPr>
      <w:r>
        <w:t xml:space="preserve"/>
      </w:r>
    </w:p>
    <w:p>
      <w:pPr>
        <w:bidi/>
        <w:spacing w:before="240" w:after="120"/>
        <w:jc w:val="right"/>
      </w:pPr>
      <w:r>
        <w:rPr>
          <w:rFonts w:ascii="Arial" w:cs="Arial" w:eastAsia="Arial" w:hAnsi="Arial"/>
          <w:b/>
          <w:bCs/>
          <w:color w:val="1A3A5C"/>
          <w:sz w:val="26"/>
          <w:szCs w:val="26"/>
          <w:rtl/>
        </w:rPr>
        <w:t xml:space="preserve">التواصل والملكية الفكرية</w:t>
      </w:r>
    </w:p>
    <w:p>
      <w:pPr>
        <w:bidi/>
        <w:spacing w:before="80" w:after="80"/>
        <w:jc w:val="right"/>
      </w:pPr>
      <w:r>
        <w:rPr>
          <w:rFonts w:ascii="Arial" w:cs="Arial" w:eastAsia="Arial" w:hAnsi="Arial"/>
          <w:sz w:val="22"/>
          <w:szCs w:val="22"/>
          <w:rtl/>
        </w:rPr>
        <w:t xml:space="preserve">المؤلف: فتحي ديواني</w:t>
      </w:r>
    </w:p>
    <w:p>
      <w:pPr>
        <w:bidi/>
        <w:spacing w:before="80" w:after="80"/>
        <w:jc w:val="right"/>
      </w:pPr>
      <w:r>
        <w:rPr>
          <w:rFonts w:ascii="Arial" w:cs="Arial" w:eastAsia="Arial" w:hAnsi="Arial"/>
          <w:sz w:val="22"/>
          <w:szCs w:val="22"/>
          <w:rtl/>
        </w:rPr>
        <w:t xml:space="preserve">المؤسسة: شركة ديواني الحديثة</w:t>
      </w:r>
    </w:p>
    <w:p>
      <w:pPr>
        <w:bidi/>
        <w:spacing w:before="80" w:after="80"/>
        <w:jc w:val="right"/>
      </w:pPr>
      <w:r>
        <w:rPr>
          <w:rFonts w:ascii="Arial" w:cs="Arial" w:eastAsia="Arial" w:hAnsi="Arial"/>
          <w:sz w:val="22"/>
          <w:szCs w:val="22"/>
          <w:rtl/>
        </w:rPr>
        <w:t xml:space="preserve">البريد الإلكتروني: Contact@diwanico.com</w:t>
      </w:r>
    </w:p>
    <w:p>
      <w:pPr>
        <w:bidi/>
        <w:spacing w:before="80" w:after="80"/>
        <w:jc w:val="right"/>
      </w:pPr>
      <w:r>
        <w:rPr>
          <w:rFonts w:ascii="Arial" w:cs="Arial" w:eastAsia="Arial" w:hAnsi="Arial"/>
          <w:sz w:val="22"/>
          <w:szCs w:val="22"/>
          <w:rtl/>
        </w:rPr>
        <w:t xml:space="preserve">الموقع: diwanico.com</w:t>
      </w:r>
    </w:p>
    <w:p>
      <w:pPr>
        <w:bidi/>
        <w:spacing w:before="80" w:after="80"/>
        <w:jc w:val="right"/>
      </w:pPr>
      <w:r>
        <w:rPr>
          <w:rFonts w:ascii="Arial" w:cs="Arial" w:eastAsia="Arial" w:hAnsi="Arial"/>
          <w:sz w:val="22"/>
          <w:szCs w:val="22"/>
          <w:rtl/>
        </w:rPr>
        <w:t xml:space="preserve">الموقع: الرياض، المملكة العربية السعودية</w:t>
      </w:r>
    </w:p>
    <w:p>
      <w:pPr>
        <w:bidi/>
        <w:spacing w:before="80" w:after="80"/>
        <w:jc w:val="right"/>
      </w:pPr>
      <w:r>
        <w:rPr>
          <w:rFonts w:ascii="Arial" w:cs="Arial" w:eastAsia="Arial" w:hAnsi="Arial"/>
          <w:sz w:val="22"/>
          <w:szCs w:val="22"/>
          <w:rtl/>
        </w:rPr>
        <w:t xml:space="preserve">أول تطبيق: نوفمبر 2025 (GitHub: github.com/Diwani90/diwani_ai)</w:t>
      </w:r>
    </w:p>
    <w:p>
      <w:pPr>
        <w:bidi/>
        <w:spacing w:before="80" w:after="80"/>
        <w:jc w:val="right"/>
      </w:pPr>
      <w:r>
        <w:rPr>
          <w:rFonts w:ascii="Arial" w:cs="Arial" w:eastAsia="Arial" w:hAnsi="Arial"/>
          <w:i/>
          <w:iCs/>
          <w:color w:val="888888"/>
          <w:sz w:val="22"/>
          <w:szCs w:val="22"/>
          <w:rtl/>
        </w:rPr>
        <w:t xml:space="preserve">هذه الوثيقة سرية. جميع المفاهيم المعمارية وتصاميم الأنظمة والتطبيقات الموصوفة هنا هي الملكية الفكرية لفتحي ديواني وشركة ديواني الحديثة.</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88888"/>
        <w:sz w:val="16"/>
        <w:szCs w:val="16"/>
        <w:rtl/>
      </w:rPr>
      <w:t xml:space="preserve">© 2025 فتحي ديواني — شركة ديواني الحديثة | diwanico.com | سري وخاص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Arial" w:cs="Arial" w:eastAsia="Arial" w:hAnsi="Arial"/>
        <w:color w:val="888888"/>
        <w:sz w:val="16"/>
        <w:szCs w:val="16"/>
        <w:rtl/>
      </w:rPr>
      <w:t xml:space="preserve">ديواني AI — المعمارية الإدراكية للذاكرة الهرمية | الورقة التقنية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bidi/>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bidi/>
      <w:spacing w:before="24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2026-03-18T21:15:32.035Z</dcterms:created>
  <dcterms:modified xsi:type="dcterms:W3CDTF">2026-03-18T21:15:32.036Z</dcterms:modified>
</cp:coreProperties>
</file>

<file path=docProps/custom.xml><?xml version="1.0" encoding="utf-8"?>
<Properties xmlns="http://schemas.openxmlformats.org/officeDocument/2006/custom-properties" xmlns:vt="http://schemas.openxmlformats.org/officeDocument/2006/docPropsVTypes"/>
</file>