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bwwsw6a7kasr" w:id="0"/>
      <w:bookmarkEnd w:id="0"/>
      <w:r w:rsidDel="00000000" w:rsidR="00000000" w:rsidRPr="00000000">
        <w:rPr>
          <w:color w:val="000000"/>
          <w:rtl w:val="0"/>
        </w:rPr>
        <w:t xml:space="preserve">Methodology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follows a structured data science workflow within a Google Colab environment to analyze market sentiment: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Acquisition: Historical market sentiment data is ingested from an external Excel file (</w:t>
      </w:r>
      <w:r w:rsidDel="00000000" w:rsidR="00000000" w:rsidRPr="00000000">
        <w:rPr>
          <w:sz w:val="24"/>
          <w:szCs w:val="24"/>
          <w:rtl w:val="0"/>
        </w:rPr>
        <w:t xml:space="preserve">fear_greed_index.xlsx</w:t>
      </w:r>
      <w:r w:rsidDel="00000000" w:rsidR="00000000" w:rsidRPr="00000000">
        <w:rPr>
          <w:sz w:val="24"/>
          <w:szCs w:val="24"/>
          <w:rtl w:val="0"/>
        </w:rPr>
        <w:t xml:space="preserve">) using the </w:t>
      </w:r>
      <w:r w:rsidDel="00000000" w:rsidR="00000000" w:rsidRPr="00000000">
        <w:rPr>
          <w:sz w:val="24"/>
          <w:szCs w:val="24"/>
          <w:rtl w:val="0"/>
        </w:rPr>
        <w:t xml:space="preserve">google.colab</w:t>
      </w:r>
      <w:r w:rsidDel="00000000" w:rsidR="00000000" w:rsidRPr="00000000">
        <w:rPr>
          <w:sz w:val="24"/>
          <w:szCs w:val="24"/>
          <w:rtl w:val="0"/>
        </w:rPr>
        <w:t xml:space="preserve"> file upload utility.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Processing: The analysis utilizes </w:t>
      </w:r>
      <w:r w:rsidDel="00000000" w:rsidR="00000000" w:rsidRPr="00000000">
        <w:rPr>
          <w:sz w:val="24"/>
          <w:szCs w:val="24"/>
          <w:rtl w:val="0"/>
        </w:rPr>
        <w:t xml:space="preserve">pandas</w:t>
      </w:r>
      <w:r w:rsidDel="00000000" w:rsidR="00000000" w:rsidRPr="00000000">
        <w:rPr>
          <w:sz w:val="24"/>
          <w:szCs w:val="24"/>
          <w:rtl w:val="0"/>
        </w:rPr>
        <w:t xml:space="preserve"> for data structuring and </w:t>
      </w:r>
      <w:r w:rsidDel="00000000" w:rsidR="00000000" w:rsidRPr="00000000">
        <w:rPr>
          <w:sz w:val="24"/>
          <w:szCs w:val="24"/>
          <w:rtl w:val="0"/>
        </w:rPr>
        <w:t xml:space="preserve">numpy</w:t>
      </w:r>
      <w:r w:rsidDel="00000000" w:rsidR="00000000" w:rsidRPr="00000000">
        <w:rPr>
          <w:sz w:val="24"/>
          <w:szCs w:val="24"/>
          <w:rtl w:val="0"/>
        </w:rPr>
        <w:t xml:space="preserve"> for efficient numerical computations.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Exploratory Data Analysis (EDA): The methodology focuses on identifying patterns and fluctuations in the Fear &amp; Greed Index over time.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Visualization: Statistical distributions and time-series trends are visualized using </w:t>
      </w:r>
      <w:r w:rsidDel="00000000" w:rsidR="00000000" w:rsidRPr="00000000">
        <w:rPr>
          <w:sz w:val="24"/>
          <w:szCs w:val="24"/>
          <w:rtl w:val="0"/>
        </w:rPr>
        <w:t xml:space="preserve">matplotlib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sz w:val="24"/>
          <w:szCs w:val="24"/>
          <w:rtl w:val="0"/>
        </w:rPr>
        <w:t xml:space="preserve">seaborn</w:t>
      </w:r>
      <w:r w:rsidDel="00000000" w:rsidR="00000000" w:rsidRPr="00000000">
        <w:rPr>
          <w:sz w:val="24"/>
          <w:szCs w:val="24"/>
          <w:rtl w:val="0"/>
        </w:rPr>
        <w:t xml:space="preserve"> to make sentiment data interpretable.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clkcsmtxd1j4" w:id="1"/>
      <w:bookmarkEnd w:id="1"/>
      <w:r w:rsidDel="00000000" w:rsidR="00000000" w:rsidRPr="00000000">
        <w:rPr>
          <w:color w:val="000000"/>
          <w:rtl w:val="0"/>
        </w:rPr>
        <w:t xml:space="preserve">Insights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Sentiment Volatility: The market demonstrates frequent shifts between extreme "Fear" and extreme "Greed," reflecting high emotional volatility in trading.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Trend Correlation: Visualizations highlight that certain periods of high greed often precede market corrections, while extreme fear can signal potential buying opportunities.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 Patterns: By plotting the index distribution, the analysis identifies the "neutral" zone where the market spends most of its time versus the infrequent outliers of market hysteria.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ce4itzjjsjz9" w:id="2"/>
      <w:bookmarkEnd w:id="2"/>
      <w:r w:rsidDel="00000000" w:rsidR="00000000" w:rsidRPr="00000000">
        <w:rPr>
          <w:color w:val="000000"/>
          <w:rtl w:val="0"/>
        </w:rPr>
        <w:t xml:space="preserve">Strategy Recommendations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Contrarian Indicator: Investors should use the index as a contrarian tool—exercising caution when the market reaches "Extreme Greed" and looking for entry points during "Extreme Fear".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Risk Mitigation: During periods of sustained high greed, it is recommended to tighten stop-loss orders or take partial profits to protect against sudden reversals.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Diversified Timing: Use sentiment analysis as a secondary confirmation tool alongside fundamental and technical analysis rather than as a standalone execution signal.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