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C705" w14:textId="450E60EE" w:rsidR="00DF7630" w:rsidRPr="00206D56" w:rsidRDefault="00000000" w:rsidP="00206D56">
      <w:pPr>
        <w:pStyle w:val="Heading1"/>
        <w:jc w:val="center"/>
        <w:rPr>
          <w:rFonts w:ascii="Times New Roman" w:hAnsi="Times New Roman" w:cs="Times New Roman"/>
          <w:sz w:val="40"/>
          <w:szCs w:val="40"/>
        </w:rPr>
      </w:pPr>
      <w:r w:rsidRPr="00206D56">
        <w:rPr>
          <w:rFonts w:ascii="Times New Roman" w:hAnsi="Times New Roman" w:cs="Times New Roman"/>
          <w:sz w:val="40"/>
          <w:szCs w:val="40"/>
        </w:rPr>
        <w:t>Employee Attrition Project</w:t>
      </w:r>
    </w:p>
    <w:p w14:paraId="6470C688" w14:textId="77777777" w:rsidR="00206D56" w:rsidRDefault="00206D56" w:rsidP="00206D56">
      <w:pPr>
        <w:spacing w:after="200"/>
        <w:jc w:val="right"/>
        <w:rPr>
          <w:rFonts w:ascii="Times New Roman" w:hAnsi="Times New Roman" w:cs="Times New Roman"/>
          <w:i/>
          <w:iCs/>
          <w:color w:val="595959"/>
          <w:sz w:val="20"/>
          <w:szCs w:val="20"/>
        </w:rPr>
      </w:pPr>
      <w:r w:rsidRPr="00D11597">
        <w:rPr>
          <w:rFonts w:ascii="Times New Roman" w:hAnsi="Times New Roman" w:cs="Times New Roman"/>
          <w:i/>
          <w:iCs/>
          <w:color w:val="595959"/>
          <w:sz w:val="20"/>
          <w:szCs w:val="20"/>
        </w:rPr>
        <w:t>Internship Project Summary by Diya Nambiar</w:t>
      </w:r>
    </w:p>
    <w:p w14:paraId="23A74E3A" w14:textId="6BFC31C6" w:rsidR="00206D56" w:rsidRPr="00206D56" w:rsidRDefault="00206D56" w:rsidP="00206D56">
      <w:pPr>
        <w:spacing w:after="200"/>
        <w:jc w:val="right"/>
        <w:rPr>
          <w:rFonts w:ascii="Times New Roman" w:hAnsi="Times New Roman" w:cs="Times New Roman"/>
          <w:i/>
          <w:iCs/>
          <w:color w:val="595959"/>
          <w:sz w:val="20"/>
          <w:szCs w:val="20"/>
        </w:rPr>
      </w:pPr>
      <w:r w:rsidRPr="00565C1B">
        <w:rPr>
          <w:rFonts w:ascii="Times New Roman" w:hAnsi="Times New Roman" w:cs="Times New Roman"/>
          <w:i/>
          <w:iCs/>
          <w:color w:val="595959"/>
          <w:sz w:val="20"/>
          <w:szCs w:val="20"/>
        </w:rPr>
        <w:t xml:space="preserve">Week </w:t>
      </w:r>
      <w:r>
        <w:rPr>
          <w:rFonts w:ascii="Times New Roman" w:hAnsi="Times New Roman" w:cs="Times New Roman"/>
          <w:i/>
          <w:iCs/>
          <w:color w:val="595959"/>
          <w:sz w:val="20"/>
          <w:szCs w:val="20"/>
        </w:rPr>
        <w:t>2</w:t>
      </w:r>
      <w:r w:rsidRPr="00565C1B">
        <w:rPr>
          <w:rFonts w:ascii="Times New Roman" w:hAnsi="Times New Roman" w:cs="Times New Roman"/>
          <w:i/>
          <w:iCs/>
          <w:color w:val="595959"/>
          <w:sz w:val="20"/>
          <w:szCs w:val="20"/>
        </w:rPr>
        <w:t xml:space="preserve"> Internship Project – </w:t>
      </w:r>
      <w:proofErr w:type="spellStart"/>
      <w:r w:rsidRPr="00565C1B">
        <w:rPr>
          <w:rFonts w:ascii="Times New Roman" w:hAnsi="Times New Roman" w:cs="Times New Roman"/>
          <w:i/>
          <w:iCs/>
          <w:color w:val="595959"/>
          <w:sz w:val="20"/>
          <w:szCs w:val="20"/>
        </w:rPr>
        <w:t>XYlofy</w:t>
      </w:r>
      <w:proofErr w:type="spellEnd"/>
      <w:r w:rsidRPr="00565C1B">
        <w:rPr>
          <w:rFonts w:ascii="Times New Roman" w:hAnsi="Times New Roman" w:cs="Times New Roman"/>
          <w:i/>
          <w:iCs/>
          <w:color w:val="595959"/>
          <w:sz w:val="20"/>
          <w:szCs w:val="20"/>
        </w:rPr>
        <w:t xml:space="preserve"> AI</w:t>
      </w:r>
    </w:p>
    <w:p w14:paraId="2953F225" w14:textId="77777777" w:rsidR="00DF7630" w:rsidRPr="00206D56" w:rsidRDefault="00000000" w:rsidP="00206D56">
      <w:pPr>
        <w:pStyle w:val="Heading2"/>
        <w:numPr>
          <w:ilvl w:val="0"/>
          <w:numId w:val="2"/>
        </w:numPr>
        <w:jc w:val="both"/>
        <w:rPr>
          <w:rFonts w:ascii="Times New Roman" w:hAnsi="Times New Roman" w:cs="Times New Roman"/>
          <w:sz w:val="36"/>
          <w:szCs w:val="36"/>
          <w:u w:val="single"/>
        </w:rPr>
      </w:pPr>
      <w:r w:rsidRPr="00206D56">
        <w:rPr>
          <w:rFonts w:ascii="Times New Roman" w:hAnsi="Times New Roman" w:cs="Times New Roman"/>
          <w:sz w:val="36"/>
          <w:szCs w:val="36"/>
          <w:u w:val="single"/>
        </w:rPr>
        <w:t>Objective</w:t>
      </w:r>
    </w:p>
    <w:p w14:paraId="147D3B6D"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The goal of this project was to understand why employees leave the company and to spot the warning signs earlier. Instead of reacting after someone resigns, the aim was to give HR a clearer picture of who is at risk and why, so retention efforts can be more targeted and effective.</w:t>
      </w:r>
    </w:p>
    <w:p w14:paraId="235D911A" w14:textId="77777777" w:rsidR="00DF7630" w:rsidRPr="00206D56" w:rsidRDefault="00000000" w:rsidP="00206D56">
      <w:pPr>
        <w:pStyle w:val="Heading2"/>
        <w:numPr>
          <w:ilvl w:val="0"/>
          <w:numId w:val="2"/>
        </w:numPr>
        <w:jc w:val="both"/>
        <w:rPr>
          <w:rFonts w:ascii="Times New Roman" w:hAnsi="Times New Roman" w:cs="Times New Roman"/>
          <w:sz w:val="36"/>
          <w:szCs w:val="36"/>
          <w:u w:val="single"/>
        </w:rPr>
      </w:pPr>
      <w:r w:rsidRPr="00206D56">
        <w:rPr>
          <w:rFonts w:ascii="Times New Roman" w:hAnsi="Times New Roman" w:cs="Times New Roman"/>
          <w:sz w:val="36"/>
          <w:szCs w:val="36"/>
          <w:u w:val="single"/>
        </w:rPr>
        <w:t>What the Analysis Found</w:t>
      </w:r>
    </w:p>
    <w:p w14:paraId="57945761"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About one in six employees in the data has left the company, so attrition is a real and ongoing issue rather than a few isolated cases.</w:t>
      </w:r>
    </w:p>
    <w:p w14:paraId="70E90245"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Three things stand out as the strongest signs that someone is likely to leave: low satisfaction with their day-to-day job and work environment, working a lot of overtime, and being relatively new to the company. Employees in their first one to two years are the most likely to leave, which suggests people are walking out the door before they ever fully settle in.</w:t>
      </w:r>
    </w:p>
    <w:p w14:paraId="36090FB2"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Pay plays a role too. Employees who left were generally earning less than those who stayed, but the difference is modest. Salary alone does not explain why people leave. The way people experience their day-to-day work matters more than what they are paid.</w:t>
      </w:r>
    </w:p>
    <w:p w14:paraId="14ABF89B"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The data also shows that attrition is not spread evenly. Some departments and job roles lose people at a noticeably higher rate than others, which points to specific, local problems rather than one company-wide issue.</w:t>
      </w:r>
    </w:p>
    <w:p w14:paraId="246D1D17" w14:textId="77777777" w:rsidR="00DF7630" w:rsidRPr="00206D56" w:rsidRDefault="00000000" w:rsidP="00206D56">
      <w:pPr>
        <w:pStyle w:val="Heading2"/>
        <w:numPr>
          <w:ilvl w:val="0"/>
          <w:numId w:val="2"/>
        </w:numPr>
        <w:jc w:val="both"/>
        <w:rPr>
          <w:rFonts w:ascii="Times New Roman" w:hAnsi="Times New Roman" w:cs="Times New Roman"/>
          <w:sz w:val="36"/>
          <w:szCs w:val="36"/>
          <w:u w:val="single"/>
        </w:rPr>
      </w:pPr>
      <w:r w:rsidRPr="00206D56">
        <w:rPr>
          <w:rFonts w:ascii="Times New Roman" w:hAnsi="Times New Roman" w:cs="Times New Roman"/>
          <w:sz w:val="36"/>
          <w:szCs w:val="36"/>
          <w:u w:val="single"/>
        </w:rPr>
        <w:t>Business Impact</w:t>
      </w:r>
    </w:p>
    <w:p w14:paraId="0901B97A"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Every employee who leaves costs the company time and money, through lost productivity, recruiting, and training a replacement. Because the departures are concentrated in specific groups, such as new hires and certain roles, the company does not need to spread retention efforts thinly across everyone. Focused attention on the right groups, and on improving day-to-day experience rather than just pay, is likely to make a bigger difference and last longer.</w:t>
      </w:r>
    </w:p>
    <w:p w14:paraId="223520B0" w14:textId="77777777" w:rsidR="00DF7630" w:rsidRPr="00206D56" w:rsidRDefault="00000000" w:rsidP="00206D56">
      <w:pPr>
        <w:pStyle w:val="Heading2"/>
        <w:numPr>
          <w:ilvl w:val="0"/>
          <w:numId w:val="2"/>
        </w:numPr>
        <w:jc w:val="both"/>
        <w:rPr>
          <w:rFonts w:ascii="Times New Roman" w:hAnsi="Times New Roman" w:cs="Times New Roman"/>
          <w:sz w:val="36"/>
          <w:szCs w:val="36"/>
          <w:u w:val="single"/>
        </w:rPr>
      </w:pPr>
      <w:r w:rsidRPr="00206D56">
        <w:rPr>
          <w:rFonts w:ascii="Times New Roman" w:hAnsi="Times New Roman" w:cs="Times New Roman"/>
          <w:sz w:val="36"/>
          <w:szCs w:val="36"/>
          <w:u w:val="single"/>
        </w:rPr>
        <w:t>HR Recommendations</w:t>
      </w:r>
    </w:p>
    <w:p w14:paraId="6B33CF95"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First, build a structured support plan for new employees during their first year and a half, especially in the roles most affected. This could include a mentor, regular one-on-one check-ins with their manager, and an honest conversation about role fit and pay around the one-year mark. This directly targets the point where most early departures happen.</w:t>
      </w:r>
    </w:p>
    <w:p w14:paraId="3DAF8A8E"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 xml:space="preserve">Second, check in proactively with employees who seem to be struggling with workload or work-life balance, particularly in the roles with the highest turnover. A short, informal </w:t>
      </w:r>
      <w:r w:rsidRPr="00206D56">
        <w:rPr>
          <w:rFonts w:ascii="Times New Roman" w:hAnsi="Times New Roman" w:cs="Times New Roman"/>
          <w:sz w:val="24"/>
          <w:szCs w:val="24"/>
        </w:rPr>
        <w:lastRenderedPageBreak/>
        <w:t>conversation about workload or scheduling flexibility, before someone has already decided to leave, is a simple and low-cost way to address two of the strongest warning signs found in the data.</w:t>
      </w:r>
    </w:p>
    <w:p w14:paraId="12633425" w14:textId="77777777" w:rsidR="00DF7630" w:rsidRPr="00206D56" w:rsidRDefault="00000000" w:rsidP="00206D56">
      <w:pPr>
        <w:pStyle w:val="Heading2"/>
        <w:numPr>
          <w:ilvl w:val="0"/>
          <w:numId w:val="2"/>
        </w:numPr>
        <w:jc w:val="both"/>
        <w:rPr>
          <w:rFonts w:ascii="Times New Roman" w:hAnsi="Times New Roman" w:cs="Times New Roman"/>
          <w:sz w:val="36"/>
          <w:szCs w:val="36"/>
          <w:u w:val="single"/>
        </w:rPr>
      </w:pPr>
      <w:r w:rsidRPr="00206D56">
        <w:rPr>
          <w:rFonts w:ascii="Times New Roman" w:hAnsi="Times New Roman" w:cs="Times New Roman"/>
          <w:sz w:val="36"/>
          <w:szCs w:val="36"/>
          <w:u w:val="single"/>
        </w:rPr>
        <w:t>Conclusion</w:t>
      </w:r>
    </w:p>
    <w:p w14:paraId="02D418A8" w14:textId="77777777" w:rsidR="00DF7630" w:rsidRPr="00206D56" w:rsidRDefault="00000000" w:rsidP="00206D56">
      <w:pPr>
        <w:spacing w:after="200"/>
        <w:ind w:left="360"/>
        <w:jc w:val="both"/>
        <w:rPr>
          <w:rFonts w:ascii="Times New Roman" w:hAnsi="Times New Roman" w:cs="Times New Roman"/>
          <w:sz w:val="24"/>
          <w:szCs w:val="24"/>
        </w:rPr>
      </w:pPr>
      <w:r w:rsidRPr="00206D56">
        <w:rPr>
          <w:rFonts w:ascii="Times New Roman" w:hAnsi="Times New Roman" w:cs="Times New Roman"/>
          <w:sz w:val="24"/>
          <w:szCs w:val="24"/>
        </w:rPr>
        <w:t>This project gives HR a clearer, evidence-based starting point for understanding who is likely to leave and why, with day-to-day job experience and early tenure standing out as the main factors, and pay playing a smaller part. That said, this is based on historical records and survey responses from a single point in time. It cannot account for personal circumstances, outside offers, or other things that are not captured in HR data, and it does not prove that one factor causes someone to leave, only that the two tend to go together.</w:t>
      </w:r>
    </w:p>
    <w:p w14:paraId="1DC294C3" w14:textId="77777777" w:rsidR="00DF7630" w:rsidRPr="00206D56" w:rsidRDefault="00000000" w:rsidP="00206D56">
      <w:pPr>
        <w:ind w:left="360"/>
        <w:jc w:val="both"/>
        <w:rPr>
          <w:sz w:val="24"/>
          <w:szCs w:val="24"/>
        </w:rPr>
      </w:pPr>
      <w:r w:rsidRPr="00206D56">
        <w:rPr>
          <w:rFonts w:ascii="Times New Roman" w:hAnsi="Times New Roman" w:cs="Times New Roman"/>
          <w:sz w:val="24"/>
          <w:szCs w:val="24"/>
        </w:rPr>
        <w:t>These findings are meant to support HR's judgment, not replace it. The final call on any individual employee should always rest with the people who know them, not with the data alone.</w:t>
      </w:r>
    </w:p>
    <w:sectPr w:rsidR="00DF7630" w:rsidRPr="00206D56" w:rsidSect="00206D56">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F0075"/>
    <w:multiLevelType w:val="hybridMultilevel"/>
    <w:tmpl w:val="717AC52E"/>
    <w:lvl w:ilvl="0" w:tplc="07C6B0FA">
      <w:start w:val="1"/>
      <w:numFmt w:val="bullet"/>
      <w:lvlText w:val="●"/>
      <w:lvlJc w:val="left"/>
      <w:pPr>
        <w:ind w:left="720" w:hanging="360"/>
      </w:pPr>
    </w:lvl>
    <w:lvl w:ilvl="1" w:tplc="F4A4BCF2">
      <w:start w:val="1"/>
      <w:numFmt w:val="bullet"/>
      <w:lvlText w:val="○"/>
      <w:lvlJc w:val="left"/>
      <w:pPr>
        <w:ind w:left="1440" w:hanging="360"/>
      </w:pPr>
    </w:lvl>
    <w:lvl w:ilvl="2" w:tplc="078E20E6">
      <w:start w:val="1"/>
      <w:numFmt w:val="bullet"/>
      <w:lvlText w:val="■"/>
      <w:lvlJc w:val="left"/>
      <w:pPr>
        <w:ind w:left="2160" w:hanging="360"/>
      </w:pPr>
    </w:lvl>
    <w:lvl w:ilvl="3" w:tplc="82DA75F2">
      <w:start w:val="1"/>
      <w:numFmt w:val="bullet"/>
      <w:lvlText w:val="●"/>
      <w:lvlJc w:val="left"/>
      <w:pPr>
        <w:ind w:left="2880" w:hanging="360"/>
      </w:pPr>
    </w:lvl>
    <w:lvl w:ilvl="4" w:tplc="49629128">
      <w:start w:val="1"/>
      <w:numFmt w:val="bullet"/>
      <w:lvlText w:val="○"/>
      <w:lvlJc w:val="left"/>
      <w:pPr>
        <w:ind w:left="3600" w:hanging="360"/>
      </w:pPr>
    </w:lvl>
    <w:lvl w:ilvl="5" w:tplc="1E24D004">
      <w:start w:val="1"/>
      <w:numFmt w:val="bullet"/>
      <w:lvlText w:val="■"/>
      <w:lvlJc w:val="left"/>
      <w:pPr>
        <w:ind w:left="4320" w:hanging="360"/>
      </w:pPr>
    </w:lvl>
    <w:lvl w:ilvl="6" w:tplc="BFE08E62">
      <w:start w:val="1"/>
      <w:numFmt w:val="bullet"/>
      <w:lvlText w:val="●"/>
      <w:lvlJc w:val="left"/>
      <w:pPr>
        <w:ind w:left="5040" w:hanging="360"/>
      </w:pPr>
    </w:lvl>
    <w:lvl w:ilvl="7" w:tplc="A75C08B4">
      <w:start w:val="1"/>
      <w:numFmt w:val="bullet"/>
      <w:lvlText w:val="●"/>
      <w:lvlJc w:val="left"/>
      <w:pPr>
        <w:ind w:left="5760" w:hanging="360"/>
      </w:pPr>
    </w:lvl>
    <w:lvl w:ilvl="8" w:tplc="34D401FA">
      <w:start w:val="1"/>
      <w:numFmt w:val="bullet"/>
      <w:lvlText w:val="●"/>
      <w:lvlJc w:val="left"/>
      <w:pPr>
        <w:ind w:left="6480" w:hanging="360"/>
      </w:pPr>
    </w:lvl>
  </w:abstractNum>
  <w:abstractNum w:abstractNumId="1" w15:restartNumberingAfterBreak="0">
    <w:nsid w:val="7B6D4739"/>
    <w:multiLevelType w:val="hybridMultilevel"/>
    <w:tmpl w:val="2F28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464816">
    <w:abstractNumId w:val="0"/>
    <w:lvlOverride w:ilvl="0">
      <w:startOverride w:val="1"/>
    </w:lvlOverride>
  </w:num>
  <w:num w:numId="2" w16cid:durableId="1437483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30"/>
    <w:rsid w:val="00206D56"/>
    <w:rsid w:val="0024578D"/>
    <w:rsid w:val="00DF7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0AD1"/>
  <w15:docId w15:val="{FECA2ED1-8804-417D-9722-25F2719B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 NAMBIAR</cp:lastModifiedBy>
  <cp:revision>2</cp:revision>
  <dcterms:created xsi:type="dcterms:W3CDTF">2026-06-26T20:39:00Z</dcterms:created>
  <dcterms:modified xsi:type="dcterms:W3CDTF">2026-06-26T20:52:00Z</dcterms:modified>
</cp:coreProperties>
</file>