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tq68573yxj8" w:id="0"/>
      <w:bookmarkEnd w:id="0"/>
      <w:r w:rsidDel="00000000" w:rsidR="00000000" w:rsidRPr="00000000">
        <w:rPr>
          <w:b w:val="1"/>
          <w:sz w:val="46"/>
          <w:szCs w:val="46"/>
          <w:rtl w:val="0"/>
        </w:rPr>
        <w:t xml:space="preserve">Operation Aurora (2009) — Targeted Supply-Chain/Watering-Hole Campaign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9g9iypp4i1v"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Operation Aurora was a highly targeted, multi-stage cyber-espionage campaign that exploited weaknesses in widely used client software and developer toolchains to gain access to corporate intellectual property and source code. The core issue combined three elements: (a) the use of </w:t>
      </w:r>
      <w:r w:rsidDel="00000000" w:rsidR="00000000" w:rsidRPr="00000000">
        <w:rPr>
          <w:b w:val="1"/>
          <w:rtl w:val="0"/>
        </w:rPr>
        <w:t xml:space="preserve">sophisticated zero-day exploits</w:t>
      </w:r>
      <w:r w:rsidDel="00000000" w:rsidR="00000000" w:rsidRPr="00000000">
        <w:rPr>
          <w:rtl w:val="0"/>
        </w:rPr>
        <w:t xml:space="preserve"> in common components (e.g., Internet Explorer and other client libraries at the time), (b) </w:t>
      </w:r>
      <w:r w:rsidDel="00000000" w:rsidR="00000000" w:rsidRPr="00000000">
        <w:rPr>
          <w:b w:val="1"/>
          <w:rtl w:val="0"/>
        </w:rPr>
        <w:t xml:space="preserve">watering-hole tactics</w:t>
      </w:r>
      <w:r w:rsidDel="00000000" w:rsidR="00000000" w:rsidRPr="00000000">
        <w:rPr>
          <w:rtl w:val="0"/>
        </w:rPr>
        <w:t xml:space="preserve">—compromising legitimate web resources frequented by the targets—and (c) follow-on lateral movement into sensitive developer and source control systems. In other words, the attackers used trusted web sites and widely trusted software to trick specific high-value victims into executing malware, then leveraged that foothold to escalate and exfiltrate data.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01crz6igiqd"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spacing w:after="240" w:before="240" w:lineRule="auto"/>
        <w:rPr/>
      </w:pPr>
      <w:r w:rsidDel="00000000" w:rsidR="00000000" w:rsidRPr="00000000">
        <w:rPr>
          <w:rtl w:val="0"/>
        </w:rPr>
        <w:t xml:space="preserve">Operation Aurora primarily targeted a set of high-profile technology and defense companies. Public reporting identified </w:t>
      </w:r>
      <w:r w:rsidDel="00000000" w:rsidR="00000000" w:rsidRPr="00000000">
        <w:rPr>
          <w:b w:val="1"/>
          <w:rtl w:val="0"/>
        </w:rPr>
        <w:t xml:space="preserve">Google</w:t>
      </w:r>
      <w:r w:rsidDel="00000000" w:rsidR="00000000" w:rsidRPr="00000000">
        <w:rPr>
          <w:rtl w:val="0"/>
        </w:rPr>
        <w:t xml:space="preserve"> as one of the principal victims (its exposure and subsequent public disclosure in January 2010 brought the campaign to wide attention). Other targeted or hit organizations included dozens of major technology firms and at least some defense contractors and human rights groups. The attackers chose organizations that held valuable intellectual property and source repositories.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3ij4qcfxuhy"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Employees who visited the compromised web pages—developers, researchers, and corporate staff—were the immediate victims of the watering-hole infections.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Companies whose developer infrastructure and source control systems were accessed suffered loss of proprietary source code, trade secrets, and internal documentation.</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Indirectly, customers and partners of affected companies were at risk if source code or credentials were misused to insert backdoors into products or services. The campaign demonstrated how a targeted breach can cascade into broader systemic risk for software integrity.</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debm49nz59f5"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0F">
      <w:pPr>
        <w:spacing w:after="240" w:before="240" w:lineRule="auto"/>
        <w:rPr/>
      </w:pPr>
      <w:r w:rsidDel="00000000" w:rsidR="00000000" w:rsidRPr="00000000">
        <w:rPr>
          <w:rtl w:val="0"/>
        </w:rPr>
        <w:t xml:space="preserve">Operation Aurora’s exploit chain combined web compromise, client exploitation, and careful post-exploitation tradecraft:</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Reconnaissance &amp; Target Selection</w:t>
      </w:r>
      <w:r w:rsidDel="00000000" w:rsidR="00000000" w:rsidRPr="00000000">
        <w:rPr>
          <w:rtl w:val="0"/>
        </w:rPr>
        <w:t xml:space="preserve"> — Attackers profiled employees and the web resources they frequented (blogs, partner sites, or technical forums).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Watering-Hole Compromise</w:t>
      </w:r>
      <w:r w:rsidDel="00000000" w:rsidR="00000000" w:rsidRPr="00000000">
        <w:rPr>
          <w:rtl w:val="0"/>
        </w:rPr>
        <w:t xml:space="preserve"> — The attackers exploited vulnerabilities in legitimate, popular websites (watering holes) to plant malicious JavaScript or drive-by exploit kits. Visitors from target organizations would receive the exploit when they visited those sites.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Client Exploitation (Zero-Days)</w:t>
      </w:r>
      <w:r w:rsidDel="00000000" w:rsidR="00000000" w:rsidRPr="00000000">
        <w:rPr>
          <w:rtl w:val="0"/>
        </w:rPr>
        <w:t xml:space="preserve"> — Vulnerable client software (notably older browsers and associated components in 2009) were exploited to silently execute shellcode on the victim machine. At the time, multiple zero-day vectors were observed.</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Foothold &amp; Malware Installation</w:t>
      </w:r>
      <w:r w:rsidDel="00000000" w:rsidR="00000000" w:rsidRPr="00000000">
        <w:rPr>
          <w:rtl w:val="0"/>
        </w:rPr>
        <w:t xml:space="preserve"> — Once executed, the exploit chain delivered a persistent backdoor allowing remote command execution and data collection.</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Credential Harvesting &amp; Lateral Movement</w:t>
      </w:r>
      <w:r w:rsidDel="00000000" w:rsidR="00000000" w:rsidRPr="00000000">
        <w:rPr>
          <w:rtl w:val="0"/>
        </w:rPr>
        <w:t xml:space="preserve"> — Attackers harvested credentials (including those for corporate developer tools and source control), used pass-the-hash techniques or other lateral movement methods to reach build servers and repositories.</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Intellectual Property Exfiltration</w:t>
      </w:r>
      <w:r w:rsidDel="00000000" w:rsidR="00000000" w:rsidRPr="00000000">
        <w:rPr>
          <w:rtl w:val="0"/>
        </w:rPr>
        <w:t xml:space="preserve"> — The attackers located source code and sensitive documents and exfiltrated them in a stealthy manner to attacker-controlled infrastructure.</w:t>
        <w:br w:type="textWrapping"/>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Operational Security &amp; Persistence</w:t>
      </w:r>
      <w:r w:rsidDel="00000000" w:rsidR="00000000" w:rsidRPr="00000000">
        <w:rPr>
          <w:rtl w:val="0"/>
        </w:rPr>
        <w:t xml:space="preserve"> — The campaign showed advanced OPSEC: selective targeting, efforts to avoid noisy mass exploitation, and persistence mechanisms to maintain access over an extended period.</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The combination of watering-hole delivery and attacking developer assets made Operation Aurora especially damaging to software supply chain trust.</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6bq6zpi6enq"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A">
      <w:pPr>
        <w:spacing w:after="240" w:before="240" w:lineRule="auto"/>
        <w:rPr/>
      </w:pPr>
      <w:r w:rsidDel="00000000" w:rsidR="00000000" w:rsidRPr="00000000">
        <w:rPr>
          <w:rtl w:val="0"/>
        </w:rPr>
        <w:t xml:space="preserve">Mitigation requires both perimeter hardening and developer-centric controls:</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Harden Client Software</w:t>
      </w:r>
      <w:r w:rsidDel="00000000" w:rsidR="00000000" w:rsidRPr="00000000">
        <w:rPr>
          <w:rtl w:val="0"/>
        </w:rPr>
        <w:t xml:space="preserve">: Keep browsers and widely used client libraries patched; enable automatic updates and block legacy, unsupported components.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Web Isolation &amp; Content Controls</w:t>
      </w:r>
      <w:r w:rsidDel="00000000" w:rsidR="00000000" w:rsidRPr="00000000">
        <w:rPr>
          <w:rtl w:val="0"/>
        </w:rPr>
        <w:t xml:space="preserve">: Use browser isolation, script blocking, and network proxies to reduce the risk of drive-by infections from third-party sites.</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Segregate Development Infrastructure</w:t>
      </w:r>
      <w:r w:rsidDel="00000000" w:rsidR="00000000" w:rsidRPr="00000000">
        <w:rPr>
          <w:rtl w:val="0"/>
        </w:rPr>
        <w:t xml:space="preserve">: Isolate source control, build systems, and CI/CD runners from general corporate networks; limit developer internet exposure from build hosts.</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Credential Hygiene</w:t>
      </w:r>
      <w:r w:rsidDel="00000000" w:rsidR="00000000" w:rsidRPr="00000000">
        <w:rPr>
          <w:rtl w:val="0"/>
        </w:rPr>
        <w:t xml:space="preserve">: Use multi-factor authentication, avoid reusing credentials across systems, and minimize the presence of high-privilege credentials on developer workstations.</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Least Privilege &amp; Access Controls</w:t>
      </w:r>
      <w:r w:rsidDel="00000000" w:rsidR="00000000" w:rsidRPr="00000000">
        <w:rPr>
          <w:rtl w:val="0"/>
        </w:rPr>
        <w:t xml:space="preserve">: Apply least privilege to developer tools and repositories; require step-up authentication for sensitive operations (e.g., pushing to main branches).</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Egress Monitoring &amp; Data Loss Prevention</w:t>
      </w:r>
      <w:r w:rsidDel="00000000" w:rsidR="00000000" w:rsidRPr="00000000">
        <w:rPr>
          <w:rtl w:val="0"/>
        </w:rPr>
        <w:t xml:space="preserve">: Monitor outbound traffic for unusual data flows; use DLP to detect anomalous transfers of source code artifacts.</w:t>
        <w:br w:type="textWrapping"/>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Threat Hunting &amp; Threat Intel</w:t>
      </w:r>
      <w:r w:rsidDel="00000000" w:rsidR="00000000" w:rsidRPr="00000000">
        <w:rPr>
          <w:rtl w:val="0"/>
        </w:rPr>
        <w:t xml:space="preserve">: Correlate telemetry (EDR, proxy logs, SIEM) to detect unusual web visits followed by suspicious process launches; subscribe to threat intelligence relevant to targeted campaigns.</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allgxyittyta" w:id="6"/>
      <w:bookmarkEnd w:id="6"/>
      <w:r w:rsidDel="00000000" w:rsidR="00000000" w:rsidRPr="00000000">
        <w:rPr>
          <w:b w:val="1"/>
          <w:color w:val="000000"/>
          <w:sz w:val="26"/>
          <w:szCs w:val="26"/>
          <w:rtl w:val="0"/>
        </w:rPr>
        <w:t xml:space="preserve">6. Fixes &amp; Response (What Victims Did)</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Affected organizations (notably Google) publicly disclosed the intrusion and collaborated with law enforcement and security vendors.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Hosts and watering-hole sites were remediated; vulnerable web platforms were patched.</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Companies rotated credentials, reinforced authentication controls, and re-imaged or rebuilt compromised hosts where necessary.</w:t>
        <w:br w:type="textWrapping"/>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rtl w:val="0"/>
        </w:rPr>
        <w:t xml:space="preserve">Public disclosures and shared indicators helped other potential victims perform targeted hunts and prevent similar intrusions.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7b90fq5gdbf" w:id="7"/>
      <w:bookmarkEnd w:id="7"/>
      <w:r w:rsidDel="00000000" w:rsidR="00000000" w:rsidRPr="00000000">
        <w:rPr>
          <w:b w:val="1"/>
          <w:color w:val="000000"/>
          <w:sz w:val="26"/>
          <w:szCs w:val="26"/>
          <w:rtl w:val="0"/>
        </w:rPr>
        <w:t xml:space="preserve">7. If No Fix Available / Immediate Actions</w:t>
      </w:r>
    </w:p>
    <w:p w:rsidR="00000000" w:rsidDel="00000000" w:rsidP="00000000" w:rsidRDefault="00000000" w:rsidRPr="00000000" w14:paraId="0000002A">
      <w:pPr>
        <w:spacing w:after="240" w:before="240" w:lineRule="auto"/>
        <w:rPr/>
      </w:pPr>
      <w:r w:rsidDel="00000000" w:rsidR="00000000" w:rsidRPr="00000000">
        <w:rPr>
          <w:rtl w:val="0"/>
        </w:rPr>
        <w:t xml:space="preserve">When immediate remediation is not possible:</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Disconnect suspected hosts</w:t>
      </w:r>
      <w:r w:rsidDel="00000000" w:rsidR="00000000" w:rsidRPr="00000000">
        <w:rPr>
          <w:rtl w:val="0"/>
        </w:rPr>
        <w:t xml:space="preserve"> from the network to prevent further lateral movement and exfiltration.</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Increase monitoring</w:t>
      </w:r>
      <w:r w:rsidDel="00000000" w:rsidR="00000000" w:rsidRPr="00000000">
        <w:rPr>
          <w:rtl w:val="0"/>
        </w:rPr>
        <w:t xml:space="preserve"> for data egress and authenticate anomalies, especially from developer machines.</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Rotate credentials</w:t>
      </w:r>
      <w:r w:rsidDel="00000000" w:rsidR="00000000" w:rsidRPr="00000000">
        <w:rPr>
          <w:rtl w:val="0"/>
        </w:rPr>
        <w:t xml:space="preserve"> that may have been exposed and require re-authentication for critical systems.</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Reimage critical endpoints</w:t>
      </w:r>
      <w:r w:rsidDel="00000000" w:rsidR="00000000" w:rsidRPr="00000000">
        <w:rPr>
          <w:rtl w:val="0"/>
        </w:rPr>
        <w:t xml:space="preserve"> suspected of compromise, especially build servers and repository hosts.</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Engage external incident response</w:t>
      </w:r>
      <w:r w:rsidDel="00000000" w:rsidR="00000000" w:rsidRPr="00000000">
        <w:rPr>
          <w:rtl w:val="0"/>
        </w:rPr>
        <w:t xml:space="preserve"> specialists to contain and forensically analyze the breach.</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olrytpqo7hk"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rtl w:val="0"/>
        </w:rPr>
        <w:t xml:space="preserve">Google Official Blog – “A New Approach to China”:</w:t>
        <w:br w:type="textWrapping"/>
        <w:t xml:space="preserve"> https://googleblog.blogspot.com/2010/01/new-approach-to-china.html</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rtl w:val="0"/>
        </w:rPr>
        <w:t xml:space="preserve">McAfee Whitepaper – “Operation Aurora: Sophisticated Cyber Espionage Attack”:</w:t>
        <w:br w:type="textWrapping"/>
        <w:t xml:space="preserve"> https://www.mcafee.com/enterprise/en-us/assets/reports/rp-operation-aurora.pdf</w:t>
        <w:br w:type="textWrapping"/>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Microsoft Security Intelligence Report on Aurora:</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https://www.microsoft.com/security/blog/2010/01/14/internet-explorer-vulnerability-used-in-targeted-attacks/</w:t>
          <w:br w:type="textWrapping"/>
        </w:r>
      </w:hyperlink>
      <w:r w:rsidDel="00000000" w:rsidR="00000000" w:rsidRPr="00000000">
        <w:rPr>
          <w:rtl w:val="0"/>
        </w:rPr>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FireEye Threat Research – Aurora Campaign Technical Analysis:</w:t>
        <w:br w:type="textWrapping"/>
        <w:t xml:space="preserve"> https://www.fireeye.com/blog/threat-research/2013/01/operation-aurora-technical-analysis.html</w:t>
        <w:br w:type="textWrapping"/>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US-CERT Alert (TA10-020A) – Microsoft Internet Explorer Vulnerability Used in Targeted Attacks:</w:t>
        <w:br w:type="textWrapping"/>
        <w:t xml:space="preserve"> https://www.us-cert.gov/ncas/alerts/TA10-020A</w:t>
        <w:br w:type="textWrapping"/>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ENISA Threat Landscape – Early Case Studies of Advanced Supply Chain Attacks:</w:t>
        <w:br w:type="textWrapping"/>
        <w:t xml:space="preserve"> https://www.enisa.europa.eu/publications/threat-landscape-for-supply-chain-attacks</w:t>
      </w:r>
      <w:r w:rsidDel="00000000" w:rsidR="00000000" w:rsidRPr="00000000">
        <w:rPr>
          <w:rtl w:val="0"/>
        </w:rPr>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xh9fba4775j"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MITRE ATT&amp;CK – Supply Chain Compromise (T1195) and Watering Hole (T1189):</w:t>
        <w:br w:type="textWrapping"/>
        <w:t xml:space="preserve"> https://attack.mitre.org/techniques/T1195/</w:t>
        <w:br w:type="textWrapping"/>
        <w:t xml:space="preserve"> https://attack.mitre.org/techniques/T1189/</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SANS Institute – Lessons from Operation Aurora:</w:t>
        <w:br w:type="textWrapping"/>
        <w:t xml:space="preserve"> https://www.sans.org/blog/operation-aurora-lessons/</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Harvard Belfer Center – Case Study: Operation Aurora and Cyber Espionage:</w:t>
        <w:br w:type="textWrapping"/>
        <w:t xml:space="preserve"> https://www.belfercenter.org/publication/operation-aurora</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Wired – How Operation Aurora Changed Corporate Cybersecurity:</w:t>
        <w:br w:type="textWrapping"/>
        <w:t xml:space="preserve"> https://www.wired.com/2010/01/operation-aurora/</w:t>
        <w:br w:type="textWrapping"/>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CrowdStrike Global Threat Report – Historical Supply Chain Campaigns:</w:t>
        <w:br w:type="textWrapping"/>
        <w:t xml:space="preserve"> https://www.crowdstrike.com/global-threat-report/</w:t>
      </w:r>
      <w:r w:rsidDel="00000000" w:rsidR="00000000" w:rsidRPr="00000000">
        <w:rPr>
          <w:rtl w:val="0"/>
        </w:rPr>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c2efkkpjwwdz" w:id="10"/>
      <w:bookmarkEnd w:id="10"/>
      <w:r w:rsidDel="00000000" w:rsidR="00000000" w:rsidRPr="00000000">
        <w:rPr>
          <w:b w:val="1"/>
          <w:color w:val="000000"/>
          <w:sz w:val="26"/>
          <w:szCs w:val="26"/>
          <w:rtl w:val="0"/>
        </w:rPr>
        <w:t xml:space="preserve">10. Tooling (Detect, Prevent, Respond)</w:t>
      </w:r>
    </w:p>
    <w:p w:rsidR="00000000" w:rsidDel="00000000" w:rsidP="00000000" w:rsidRDefault="00000000" w:rsidRPr="00000000" w14:paraId="00000041">
      <w:pPr>
        <w:numPr>
          <w:ilvl w:val="0"/>
          <w:numId w:val="7"/>
        </w:numPr>
        <w:spacing w:after="0" w:afterAutospacing="0" w:before="240" w:lineRule="auto"/>
        <w:ind w:left="720" w:hanging="360"/>
      </w:pPr>
      <w:r w:rsidDel="00000000" w:rsidR="00000000" w:rsidRPr="00000000">
        <w:rPr>
          <w:rtl w:val="0"/>
        </w:rPr>
        <w:t xml:space="preserve">Zeek – Detecting watering hole–based lateral movement:</w:t>
        <w:br w:type="textWrapping"/>
        <w:t xml:space="preserve"> https://zeek.org/</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Snort / Suricata – IDS rules for Aurora-related exploits:</w:t>
        <w:br w:type="textWrapping"/>
        <w:t xml:space="preserve"> https://www.snort.org/downloads</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Microsoft Defender for Endpoint – Aurora exploit detection and response:</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https://www.microsoft.com/en-us/security/business/threat-protection/microsoft-defender-endpoint</w:t>
          <w:br w:type="textWrapping"/>
        </w:r>
      </w:hyperlink>
      <w:r w:rsidDel="00000000" w:rsidR="00000000" w:rsidRPr="00000000">
        <w:rPr>
          <w:rtl w:val="0"/>
        </w:rPr>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YARA – Detection of exploit kit payloads:</w:t>
        <w:br w:type="textWrapping"/>
        <w:t xml:space="preserve"> https://virustotal.github.io/yara/</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Browser Hardening Toolkit (CIS Benchmarks):</w:t>
        <w:br w:type="textWrapping"/>
        <w:t xml:space="preserve"> https://www.cisecurity.org/cis-benchmarks</w:t>
        <w:br w:type="textWrapping"/>
      </w:r>
    </w:p>
    <w:p w:rsidR="00000000" w:rsidDel="00000000" w:rsidP="00000000" w:rsidRDefault="00000000" w:rsidRPr="00000000" w14:paraId="00000046">
      <w:pPr>
        <w:numPr>
          <w:ilvl w:val="0"/>
          <w:numId w:val="7"/>
        </w:numPr>
        <w:spacing w:after="240" w:before="0" w:beforeAutospacing="0" w:lineRule="auto"/>
        <w:ind w:left="720" w:hanging="360"/>
      </w:pPr>
      <w:r w:rsidDel="00000000" w:rsidR="00000000" w:rsidRPr="00000000">
        <w:rPr>
          <w:rtl w:val="0"/>
        </w:rPr>
        <w:t xml:space="preserve">VirusTotal – Payload analysis and reputation checks:</w:t>
        <w:br w:type="textWrapping"/>
        <w:t xml:space="preserve"> https://www.virustotal.com/</w:t>
      </w:r>
      <w:r w:rsidDel="00000000" w:rsidR="00000000" w:rsidRPr="00000000">
        <w:rPr>
          <w:rtl w:val="0"/>
        </w:rPr>
        <w:br w:type="textWrapping"/>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security/business/threat-protection/microsoft-defender-endpoint" TargetMode="External"/><Relationship Id="rId5" Type="http://schemas.openxmlformats.org/officeDocument/2006/relationships/styles" Target="styles.xml"/><Relationship Id="rId6" Type="http://schemas.openxmlformats.org/officeDocument/2006/relationships/hyperlink" Target="https://www.microsoft.com/security/blog/2010/01/14/internet-explorer-vulnerability-used-in-targeted-attacks/" TargetMode="External"/><Relationship Id="rId7" Type="http://schemas.openxmlformats.org/officeDocument/2006/relationships/hyperlink" Target="https://www.microsoft.com/security/blog/2010/01/14/internet-explorer-vulnerability-used-in-targeted-attacks/" TargetMode="External"/><Relationship Id="rId8" Type="http://schemas.openxmlformats.org/officeDocument/2006/relationships/hyperlink" Target="https://www.microsoft.com/en-us/security/business/threat-protection/microsoft-defender-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