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jno4d1d5sz5s" w:id="0"/>
      <w:bookmarkEnd w:id="0"/>
      <w:r w:rsidDel="00000000" w:rsidR="00000000" w:rsidRPr="00000000">
        <w:rPr>
          <w:b w:val="1"/>
          <w:sz w:val="46"/>
          <w:szCs w:val="46"/>
          <w:rtl w:val="0"/>
        </w:rPr>
        <w:t xml:space="preserve">Operation NightScout (2021) — Composite Case Study of a Supply-Chain Compromise via Vendor Update Mechanisms</w:t>
      </w:r>
    </w:p>
    <w:p w:rsidR="00000000" w:rsidDel="00000000" w:rsidP="00000000" w:rsidRDefault="00000000" w:rsidRPr="00000000" w14:paraId="00000002">
      <w:pPr>
        <w:spacing w:after="240" w:before="240" w:lineRule="auto"/>
        <w:rPr/>
      </w:pPr>
      <w:r w:rsidDel="00000000" w:rsidR="00000000" w:rsidRPr="00000000">
        <w:rPr>
          <w:b w:val="1"/>
          <w:rtl w:val="0"/>
        </w:rPr>
        <w:t xml:space="preserve">Note:</w:t>
      </w:r>
      <w:r w:rsidDel="00000000" w:rsidR="00000000" w:rsidRPr="00000000">
        <w:rPr>
          <w:rtl w:val="0"/>
        </w:rPr>
        <w:t xml:space="preserve"> </w:t>
      </w:r>
      <w:r w:rsidDel="00000000" w:rsidR="00000000" w:rsidRPr="00000000">
        <w:rPr>
          <w:i w:val="1"/>
          <w:rtl w:val="0"/>
        </w:rPr>
        <w:t xml:space="preserve">Operation NightScout</w:t>
      </w:r>
      <w:r w:rsidDel="00000000" w:rsidR="00000000" w:rsidRPr="00000000">
        <w:rPr>
          <w:rtl w:val="0"/>
        </w:rPr>
        <w:t xml:space="preserve"> in this document is a synthesized case study that combines realistic attack patterns observed in actual supply-chain compromises (e.g., vendor update server tampering, trojanized installers, targeted activation). It is intended for academic analysis, teaching, and defensive planning rather than as a claim about a specific historical incident.</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7enu30p1hu8" w:id="1"/>
      <w:bookmarkEnd w:id="1"/>
      <w:r w:rsidDel="00000000" w:rsidR="00000000" w:rsidRPr="00000000">
        <w:rPr>
          <w:b w:val="1"/>
          <w:color w:val="000000"/>
          <w:sz w:val="26"/>
          <w:szCs w:val="26"/>
          <w:rtl w:val="0"/>
        </w:rPr>
        <w:t xml:space="preserve">1. Core Issue</w:t>
      </w:r>
    </w:p>
    <w:p w:rsidR="00000000" w:rsidDel="00000000" w:rsidP="00000000" w:rsidRDefault="00000000" w:rsidRPr="00000000" w14:paraId="00000005">
      <w:pPr>
        <w:spacing w:after="240" w:before="240" w:lineRule="auto"/>
        <w:rPr/>
      </w:pPr>
      <w:r w:rsidDel="00000000" w:rsidR="00000000" w:rsidRPr="00000000">
        <w:rPr>
          <w:rtl w:val="0"/>
        </w:rPr>
        <w:t xml:space="preserve">Operation NightScout represents a textbook supply-chain compromise in which attackers subvert a vendor’s legitimate update channels to distribute malicious, signed binaries to end customers. The core weakness exploited is </w:t>
      </w:r>
      <w:r w:rsidDel="00000000" w:rsidR="00000000" w:rsidRPr="00000000">
        <w:rPr>
          <w:i w:val="1"/>
          <w:rtl w:val="0"/>
        </w:rPr>
        <w:t xml:space="preserve">trust in vendor distribution and build processes</w:t>
      </w:r>
      <w:r w:rsidDel="00000000" w:rsidR="00000000" w:rsidRPr="00000000">
        <w:rPr>
          <w:rtl w:val="0"/>
        </w:rPr>
        <w:t xml:space="preserve">: the vendor’s update mechanism and build/signing process were insufficiently isolated and monitored, allowing attackers to inject code that would be accepted by downstream environments without additional verification. The attack leverages automation, implicit trust relationships (signed updates, auto-patching), and the blast radius of vendor software that runs with elevated permissions on customer systems.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co2flt23j32" w:id="2"/>
      <w:bookmarkEnd w:id="2"/>
      <w:r w:rsidDel="00000000" w:rsidR="00000000" w:rsidRPr="00000000">
        <w:rPr>
          <w:b w:val="1"/>
          <w:color w:val="000000"/>
          <w:sz w:val="26"/>
          <w:szCs w:val="26"/>
          <w:rtl w:val="0"/>
        </w:rPr>
        <w:t xml:space="preserve">2. Who Was Attacked (Entry Point)</w:t>
      </w:r>
    </w:p>
    <w:p w:rsidR="00000000" w:rsidDel="00000000" w:rsidP="00000000" w:rsidRDefault="00000000" w:rsidRPr="00000000" w14:paraId="00000008">
      <w:pPr>
        <w:spacing w:after="240" w:before="240" w:lineRule="auto"/>
        <w:rPr/>
      </w:pPr>
      <w:r w:rsidDel="00000000" w:rsidR="00000000" w:rsidRPr="00000000">
        <w:rPr>
          <w:rtl w:val="0"/>
        </w:rPr>
        <w:t xml:space="preserve">The entry point is the software vendor’s development or release infrastructure — typically a combination of:</w:t>
      </w:r>
    </w:p>
    <w:p w:rsidR="00000000" w:rsidDel="00000000" w:rsidP="00000000" w:rsidRDefault="00000000" w:rsidRPr="00000000" w14:paraId="00000009">
      <w:pPr>
        <w:numPr>
          <w:ilvl w:val="0"/>
          <w:numId w:val="5"/>
        </w:numPr>
        <w:spacing w:after="0" w:afterAutospacing="0" w:before="240" w:lineRule="auto"/>
        <w:ind w:left="720" w:hanging="360"/>
      </w:pPr>
      <w:r w:rsidDel="00000000" w:rsidR="00000000" w:rsidRPr="00000000">
        <w:rPr>
          <w:rtl w:val="0"/>
        </w:rPr>
        <w:t xml:space="preserve">The build pipeline (CI/CD systems, build agents, artifact repositories), and/or</w:t>
        <w:br w:type="textWrapping"/>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rtl w:val="0"/>
        </w:rPr>
        <w:t xml:space="preserve">Update distribution servers (CDNs, download mirrors, auto-update services), and/or</w:t>
        <w:br w:type="textWrapping"/>
      </w:r>
    </w:p>
    <w:p w:rsidR="00000000" w:rsidDel="00000000" w:rsidP="00000000" w:rsidRDefault="00000000" w:rsidRPr="00000000" w14:paraId="0000000B">
      <w:pPr>
        <w:numPr>
          <w:ilvl w:val="0"/>
          <w:numId w:val="5"/>
        </w:numPr>
        <w:spacing w:after="240" w:before="0" w:beforeAutospacing="0" w:lineRule="auto"/>
        <w:ind w:left="720" w:hanging="360"/>
      </w:pPr>
      <w:r w:rsidDel="00000000" w:rsidR="00000000" w:rsidRPr="00000000">
        <w:rPr>
          <w:rtl w:val="0"/>
        </w:rPr>
        <w:t xml:space="preserve">The signing/key management process (private signing keys, HSMs, or signing automation).</w:t>
        <w:br w:type="textWrapping"/>
      </w:r>
    </w:p>
    <w:p w:rsidR="00000000" w:rsidDel="00000000" w:rsidP="00000000" w:rsidRDefault="00000000" w:rsidRPr="00000000" w14:paraId="0000000C">
      <w:pPr>
        <w:spacing w:after="240" w:before="240" w:lineRule="auto"/>
        <w:rPr/>
      </w:pPr>
      <w:r w:rsidDel="00000000" w:rsidR="00000000" w:rsidRPr="00000000">
        <w:rPr>
          <w:rtl w:val="0"/>
        </w:rPr>
        <w:t xml:space="preserve">In the NightScout scenario, attackers gained access to the vendor’s build environment (or a vendor’s third-party build provider) and introduced a trojanized update that was then code-signed and served through the vendor’s normal channels.</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1u4dv6kqk31t" w:id="3"/>
      <w:bookmarkEnd w:id="3"/>
      <w:r w:rsidDel="00000000" w:rsidR="00000000" w:rsidRPr="00000000">
        <w:rPr>
          <w:b w:val="1"/>
          <w:color w:val="000000"/>
          <w:sz w:val="26"/>
          <w:szCs w:val="26"/>
          <w:rtl w:val="0"/>
        </w:rPr>
        <w:t xml:space="preserve">3. Who Was Affected</w:t>
      </w:r>
    </w:p>
    <w:p w:rsidR="00000000" w:rsidDel="00000000" w:rsidP="00000000" w:rsidRDefault="00000000" w:rsidRPr="00000000" w14:paraId="0000000F">
      <w:pPr>
        <w:spacing w:after="240" w:before="240" w:lineRule="auto"/>
        <w:rPr/>
      </w:pPr>
      <w:r w:rsidDel="00000000" w:rsidR="00000000" w:rsidRPr="00000000">
        <w:rPr>
          <w:rtl w:val="0"/>
        </w:rPr>
        <w:t xml:space="preserve">Because vendor update channels often serve many customers, the impact is multiplicative:</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b w:val="1"/>
          <w:rtl w:val="0"/>
        </w:rPr>
        <w:t xml:space="preserve">Direct customers</w:t>
      </w:r>
      <w:r w:rsidDel="00000000" w:rsidR="00000000" w:rsidRPr="00000000">
        <w:rPr>
          <w:rtl w:val="0"/>
        </w:rPr>
        <w:t xml:space="preserve">: enterprises and consumers who installed the malicious update (workstations, servers, IoT devices).</w:t>
        <w:br w:type="textWrapping"/>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High-value subtargets</w:t>
      </w:r>
      <w:r w:rsidDel="00000000" w:rsidR="00000000" w:rsidRPr="00000000">
        <w:rPr>
          <w:rtl w:val="0"/>
        </w:rPr>
        <w:t xml:space="preserve">: the adversary selectively activated secondary payloads on a subset of victims (e.g., select enterprise domains, high-profile customers, or specific geographic targets).</w:t>
        <w:br w:type="textWrapping"/>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Dependent ecosystems</w:t>
      </w:r>
      <w:r w:rsidDel="00000000" w:rsidR="00000000" w:rsidRPr="00000000">
        <w:rPr>
          <w:rtl w:val="0"/>
        </w:rPr>
        <w:t xml:space="preserve">: partners and integrators that accept vendor bundles or ship vendor binaries inside larger systems.</w:t>
        <w:br w:type="textWrapping"/>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b w:val="1"/>
          <w:rtl w:val="0"/>
        </w:rPr>
        <w:t xml:space="preserve">Supply-chain downstream</w:t>
      </w:r>
      <w:r w:rsidDel="00000000" w:rsidR="00000000" w:rsidRPr="00000000">
        <w:rPr>
          <w:rtl w:val="0"/>
        </w:rPr>
        <w:t xml:space="preserve">: managed service providers (MSPs), software integrators, or OEMs that repackage or redistribute vendor software.</w:t>
        <w:br w:type="textWrapping"/>
      </w:r>
    </w:p>
    <w:p w:rsidR="00000000" w:rsidDel="00000000" w:rsidP="00000000" w:rsidRDefault="00000000" w:rsidRPr="00000000" w14:paraId="00000014">
      <w:pPr>
        <w:spacing w:after="240" w:before="240" w:lineRule="auto"/>
        <w:rPr/>
      </w:pPr>
      <w:r w:rsidDel="00000000" w:rsidR="00000000" w:rsidRPr="00000000">
        <w:rPr>
          <w:rtl w:val="0"/>
        </w:rPr>
        <w:t xml:space="preserve">Operationally, NightScout impacted administrative endpoints, monitoring tools, and any automation that trusted the vendor’s update signature out of the box.</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3hr6hjsdr78q" w:id="4"/>
      <w:bookmarkEnd w:id="4"/>
      <w:r w:rsidDel="00000000" w:rsidR="00000000" w:rsidRPr="00000000">
        <w:rPr>
          <w:b w:val="1"/>
          <w:color w:val="000000"/>
          <w:sz w:val="26"/>
          <w:szCs w:val="26"/>
          <w:rtl w:val="0"/>
        </w:rPr>
        <w:t xml:space="preserve">4. Exploit Chain Details (Step-by-Step)</w:t>
      </w:r>
    </w:p>
    <w:p w:rsidR="00000000" w:rsidDel="00000000" w:rsidP="00000000" w:rsidRDefault="00000000" w:rsidRPr="00000000" w14:paraId="00000017">
      <w:pPr>
        <w:spacing w:after="240" w:before="240" w:lineRule="auto"/>
        <w:rPr/>
      </w:pPr>
      <w:r w:rsidDel="00000000" w:rsidR="00000000" w:rsidRPr="00000000">
        <w:rPr>
          <w:rtl w:val="0"/>
        </w:rPr>
        <w:t xml:space="preserve">A realistic NightScout exploit chain can be broken into stages:</w:t>
      </w:r>
    </w:p>
    <w:p w:rsidR="00000000" w:rsidDel="00000000" w:rsidP="00000000" w:rsidRDefault="00000000" w:rsidRPr="00000000" w14:paraId="00000018">
      <w:pPr>
        <w:numPr>
          <w:ilvl w:val="0"/>
          <w:numId w:val="9"/>
        </w:numPr>
        <w:spacing w:after="0" w:afterAutospacing="0" w:before="240" w:lineRule="auto"/>
        <w:ind w:left="720" w:hanging="360"/>
      </w:pPr>
      <w:r w:rsidDel="00000000" w:rsidR="00000000" w:rsidRPr="00000000">
        <w:rPr>
          <w:b w:val="1"/>
          <w:rtl w:val="0"/>
        </w:rPr>
        <w:t xml:space="preserve">Reconnaissance &amp; Target Selection</w:t>
      </w:r>
      <w:r w:rsidDel="00000000" w:rsidR="00000000" w:rsidRPr="00000000">
        <w:rPr>
          <w:rtl w:val="0"/>
        </w:rPr>
        <w:t xml:space="preserve"> — Attacker profiles the vendor (public repos, CI metadata, developer email patterns) and identifies likely weak points (third-party CI, exposed build servers, weak remote access).</w:t>
        <w:br w:type="textWrapping"/>
      </w:r>
    </w:p>
    <w:p w:rsidR="00000000" w:rsidDel="00000000" w:rsidP="00000000" w:rsidRDefault="00000000" w:rsidRPr="00000000" w14:paraId="00000019">
      <w:pPr>
        <w:numPr>
          <w:ilvl w:val="0"/>
          <w:numId w:val="9"/>
        </w:numPr>
        <w:spacing w:after="0" w:afterAutospacing="0" w:before="0" w:beforeAutospacing="0" w:lineRule="auto"/>
        <w:ind w:left="720" w:hanging="360"/>
      </w:pPr>
      <w:r w:rsidDel="00000000" w:rsidR="00000000" w:rsidRPr="00000000">
        <w:rPr>
          <w:b w:val="1"/>
          <w:rtl w:val="0"/>
        </w:rPr>
        <w:t xml:space="preserve">Initial Access</w:t>
      </w:r>
      <w:r w:rsidDel="00000000" w:rsidR="00000000" w:rsidRPr="00000000">
        <w:rPr>
          <w:rtl w:val="0"/>
        </w:rPr>
        <w:t xml:space="preserve"> — The attacker obtains access to the vendor environment via stolen credentials, misconfigured CI secrets, unpatched RDP/SSH, or supply-chain phishing.</w:t>
        <w:br w:type="textWrapping"/>
      </w:r>
    </w:p>
    <w:p w:rsidR="00000000" w:rsidDel="00000000" w:rsidP="00000000" w:rsidRDefault="00000000" w:rsidRPr="00000000" w14:paraId="0000001A">
      <w:pPr>
        <w:numPr>
          <w:ilvl w:val="0"/>
          <w:numId w:val="9"/>
        </w:numPr>
        <w:spacing w:after="0" w:afterAutospacing="0" w:before="0" w:beforeAutospacing="0" w:lineRule="auto"/>
        <w:ind w:left="720" w:hanging="360"/>
      </w:pPr>
      <w:r w:rsidDel="00000000" w:rsidR="00000000" w:rsidRPr="00000000">
        <w:rPr>
          <w:b w:val="1"/>
          <w:rtl w:val="0"/>
        </w:rPr>
        <w:t xml:space="preserve">Persistence in Build/Release Systems</w:t>
      </w:r>
      <w:r w:rsidDel="00000000" w:rsidR="00000000" w:rsidRPr="00000000">
        <w:rPr>
          <w:rtl w:val="0"/>
        </w:rPr>
        <w:t xml:space="preserve"> — The adversary plants backdoors or schedule jobs in build agents; they hide changes by modifying build scripts or injecting small, stealthy modifications that evade casual review.</w:t>
        <w:br w:type="textWrapping"/>
      </w:r>
    </w:p>
    <w:p w:rsidR="00000000" w:rsidDel="00000000" w:rsidP="00000000" w:rsidRDefault="00000000" w:rsidRPr="00000000" w14:paraId="0000001B">
      <w:pPr>
        <w:numPr>
          <w:ilvl w:val="0"/>
          <w:numId w:val="9"/>
        </w:numPr>
        <w:spacing w:after="0" w:afterAutospacing="0" w:before="0" w:beforeAutospacing="0" w:lineRule="auto"/>
        <w:ind w:left="720" w:hanging="360"/>
      </w:pPr>
      <w:r w:rsidDel="00000000" w:rsidR="00000000" w:rsidRPr="00000000">
        <w:rPr>
          <w:b w:val="1"/>
          <w:rtl w:val="0"/>
        </w:rPr>
        <w:t xml:space="preserve">Trojanized Artifact Creation</w:t>
      </w:r>
      <w:r w:rsidDel="00000000" w:rsidR="00000000" w:rsidRPr="00000000">
        <w:rPr>
          <w:rtl w:val="0"/>
        </w:rPr>
        <w:t xml:space="preserve"> — Malicious code is embedded into the software (for example, a remote management agent or an update service binary). The artifact is signed with the vendor’s signing process, or signing automation is abused.</w:t>
        <w:br w:type="textWrapping"/>
      </w:r>
    </w:p>
    <w:p w:rsidR="00000000" w:rsidDel="00000000" w:rsidP="00000000" w:rsidRDefault="00000000" w:rsidRPr="00000000" w14:paraId="0000001C">
      <w:pPr>
        <w:numPr>
          <w:ilvl w:val="0"/>
          <w:numId w:val="9"/>
        </w:numPr>
        <w:spacing w:after="0" w:afterAutospacing="0" w:before="0" w:beforeAutospacing="0" w:lineRule="auto"/>
        <w:ind w:left="720" w:hanging="360"/>
      </w:pPr>
      <w:r w:rsidDel="00000000" w:rsidR="00000000" w:rsidRPr="00000000">
        <w:rPr>
          <w:b w:val="1"/>
          <w:rtl w:val="0"/>
        </w:rPr>
        <w:t xml:space="preserve">Trusted Distribution</w:t>
      </w:r>
      <w:r w:rsidDel="00000000" w:rsidR="00000000" w:rsidRPr="00000000">
        <w:rPr>
          <w:rtl w:val="0"/>
        </w:rPr>
        <w:t xml:space="preserve"> — The signed, trojanized update is published to the vendor update servers/CDN and is pulled by customers through automated update channels.</w:t>
        <w:br w:type="textWrapping"/>
      </w:r>
    </w:p>
    <w:p w:rsidR="00000000" w:rsidDel="00000000" w:rsidP="00000000" w:rsidRDefault="00000000" w:rsidRPr="00000000" w14:paraId="0000001D">
      <w:pPr>
        <w:numPr>
          <w:ilvl w:val="0"/>
          <w:numId w:val="9"/>
        </w:numPr>
        <w:spacing w:after="0" w:afterAutospacing="0" w:before="0" w:beforeAutospacing="0" w:lineRule="auto"/>
        <w:ind w:left="720" w:hanging="360"/>
      </w:pPr>
      <w:r w:rsidDel="00000000" w:rsidR="00000000" w:rsidRPr="00000000">
        <w:rPr>
          <w:b w:val="1"/>
          <w:rtl w:val="0"/>
        </w:rPr>
        <w:t xml:space="preserve">Deployment &amp; Dormant Period</w:t>
      </w:r>
      <w:r w:rsidDel="00000000" w:rsidR="00000000" w:rsidRPr="00000000">
        <w:rPr>
          <w:rtl w:val="0"/>
        </w:rPr>
        <w:t xml:space="preserve"> — The malware installs but remains dormant or operates stealthily to avoid immediate detection.</w:t>
        <w:br w:type="textWrapping"/>
      </w:r>
    </w:p>
    <w:p w:rsidR="00000000" w:rsidDel="00000000" w:rsidP="00000000" w:rsidRDefault="00000000" w:rsidRPr="00000000" w14:paraId="0000001E">
      <w:pPr>
        <w:numPr>
          <w:ilvl w:val="0"/>
          <w:numId w:val="9"/>
        </w:numPr>
        <w:spacing w:after="0" w:afterAutospacing="0" w:before="0" w:beforeAutospacing="0" w:lineRule="auto"/>
        <w:ind w:left="720" w:hanging="360"/>
      </w:pPr>
      <w:r w:rsidDel="00000000" w:rsidR="00000000" w:rsidRPr="00000000">
        <w:rPr>
          <w:b w:val="1"/>
          <w:rtl w:val="0"/>
        </w:rPr>
        <w:t xml:space="preserve">Selective Activation &amp; C2</w:t>
      </w:r>
      <w:r w:rsidDel="00000000" w:rsidR="00000000" w:rsidRPr="00000000">
        <w:rPr>
          <w:rtl w:val="0"/>
        </w:rPr>
        <w:t xml:space="preserve"> — The operator triggers the payload selectively (based on hostnames, MACs, domain membership, geolocation, or other identifiers), which then establishes C2 and performs follow-on activities (credential harvesting, lateral movement, exfiltration).</w:t>
        <w:br w:type="textWrapping"/>
      </w:r>
    </w:p>
    <w:p w:rsidR="00000000" w:rsidDel="00000000" w:rsidP="00000000" w:rsidRDefault="00000000" w:rsidRPr="00000000" w14:paraId="0000001F">
      <w:pPr>
        <w:numPr>
          <w:ilvl w:val="0"/>
          <w:numId w:val="9"/>
        </w:numPr>
        <w:spacing w:after="240" w:before="0" w:beforeAutospacing="0" w:lineRule="auto"/>
        <w:ind w:left="720" w:hanging="360"/>
      </w:pPr>
      <w:r w:rsidDel="00000000" w:rsidR="00000000" w:rsidRPr="00000000">
        <w:rPr>
          <w:b w:val="1"/>
          <w:rtl w:val="0"/>
        </w:rPr>
        <w:t xml:space="preserve">Cleanup &amp; Obfuscation</w:t>
      </w:r>
      <w:r w:rsidDel="00000000" w:rsidR="00000000" w:rsidRPr="00000000">
        <w:rPr>
          <w:rtl w:val="0"/>
        </w:rPr>
        <w:t xml:space="preserve"> — To prolong the window of access, attackers remove obvious artifacts, rotate C2, and leverage living-off-the-land techniques.</w:t>
        <w:br w:type="textWrapping"/>
      </w:r>
    </w:p>
    <w:p w:rsidR="00000000" w:rsidDel="00000000" w:rsidP="00000000" w:rsidRDefault="00000000" w:rsidRPr="00000000" w14:paraId="00000020">
      <w:pPr>
        <w:spacing w:after="240" w:before="240" w:lineRule="auto"/>
        <w:rPr/>
      </w:pPr>
      <w:r w:rsidDel="00000000" w:rsidR="00000000" w:rsidRPr="00000000">
        <w:rPr>
          <w:rtl w:val="0"/>
        </w:rPr>
        <w:t xml:space="preserve">This chain combines elements from real incidents (e.g., malicious build artifacts, signed binaries, targeted activation) to illustrate the full attack lifecycle.</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m0087pvwf8lb" w:id="5"/>
      <w:bookmarkEnd w:id="5"/>
      <w:r w:rsidDel="00000000" w:rsidR="00000000" w:rsidRPr="00000000">
        <w:rPr>
          <w:b w:val="1"/>
          <w:color w:val="000000"/>
          <w:sz w:val="26"/>
          <w:szCs w:val="26"/>
          <w:rtl w:val="0"/>
        </w:rPr>
        <w:t xml:space="preserve">5. Prevention / Protection Steps</w:t>
      </w:r>
    </w:p>
    <w:p w:rsidR="00000000" w:rsidDel="00000000" w:rsidP="00000000" w:rsidRDefault="00000000" w:rsidRPr="00000000" w14:paraId="00000023">
      <w:pPr>
        <w:spacing w:after="240" w:before="240" w:lineRule="auto"/>
        <w:rPr/>
      </w:pPr>
      <w:r w:rsidDel="00000000" w:rsidR="00000000" w:rsidRPr="00000000">
        <w:rPr>
          <w:rtl w:val="0"/>
        </w:rPr>
        <w:t xml:space="preserve">Defending against NightScout-style attacks requires controls across the vendor, consumer, and ecosystem layers:</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For Vendor/Build Owners</w:t>
      </w:r>
    </w:p>
    <w:p w:rsidR="00000000" w:rsidDel="00000000" w:rsidP="00000000" w:rsidRDefault="00000000" w:rsidRPr="00000000" w14:paraId="00000025">
      <w:pPr>
        <w:numPr>
          <w:ilvl w:val="0"/>
          <w:numId w:val="8"/>
        </w:numPr>
        <w:spacing w:after="0" w:afterAutospacing="0" w:before="240" w:lineRule="auto"/>
        <w:ind w:left="720" w:hanging="360"/>
      </w:pPr>
      <w:r w:rsidDel="00000000" w:rsidR="00000000" w:rsidRPr="00000000">
        <w:rPr>
          <w:i w:val="1"/>
          <w:rtl w:val="0"/>
        </w:rPr>
        <w:t xml:space="preserve">Harden the build pipeline</w:t>
      </w:r>
      <w:r w:rsidDel="00000000" w:rsidR="00000000" w:rsidRPr="00000000">
        <w:rPr>
          <w:rtl w:val="0"/>
        </w:rPr>
        <w:t xml:space="preserve">: Require MFA and hardware keys for build accounts and restrict admin access to build servers. Isolate build agents from general networks and from developer workstations.</w:t>
        <w:br w:type="textWrapping"/>
      </w:r>
    </w:p>
    <w:p w:rsidR="00000000" w:rsidDel="00000000" w:rsidP="00000000" w:rsidRDefault="00000000" w:rsidRPr="00000000" w14:paraId="00000026">
      <w:pPr>
        <w:numPr>
          <w:ilvl w:val="0"/>
          <w:numId w:val="8"/>
        </w:numPr>
        <w:spacing w:after="0" w:afterAutospacing="0" w:before="0" w:beforeAutospacing="0" w:lineRule="auto"/>
        <w:ind w:left="720" w:hanging="360"/>
      </w:pPr>
      <w:r w:rsidDel="00000000" w:rsidR="00000000" w:rsidRPr="00000000">
        <w:rPr>
          <w:i w:val="1"/>
          <w:rtl w:val="0"/>
        </w:rPr>
        <w:t xml:space="preserve">Protect signing keys</w:t>
      </w:r>
      <w:r w:rsidDel="00000000" w:rsidR="00000000" w:rsidRPr="00000000">
        <w:rPr>
          <w:rtl w:val="0"/>
        </w:rPr>
        <w:t xml:space="preserve">: Store signing keys within HSMs, require multi-party approval for signing events, and implement short-lived signing credentials.</w:t>
        <w:br w:type="textWrapping"/>
      </w:r>
    </w:p>
    <w:p w:rsidR="00000000" w:rsidDel="00000000" w:rsidP="00000000" w:rsidRDefault="00000000" w:rsidRPr="00000000" w14:paraId="00000027">
      <w:pPr>
        <w:numPr>
          <w:ilvl w:val="0"/>
          <w:numId w:val="8"/>
        </w:numPr>
        <w:spacing w:after="0" w:afterAutospacing="0" w:before="0" w:beforeAutospacing="0" w:lineRule="auto"/>
        <w:ind w:left="720" w:hanging="360"/>
      </w:pPr>
      <w:r w:rsidDel="00000000" w:rsidR="00000000" w:rsidRPr="00000000">
        <w:rPr>
          <w:i w:val="1"/>
          <w:rtl w:val="0"/>
        </w:rPr>
        <w:t xml:space="preserve">Enforce reproducible builds &amp; provenance</w:t>
      </w:r>
      <w:r w:rsidDel="00000000" w:rsidR="00000000" w:rsidRPr="00000000">
        <w:rPr>
          <w:rtl w:val="0"/>
        </w:rPr>
        <w:t xml:space="preserve">: Adopt reproducible build practices and publish signed attestation (e.g., SLSA/in-toto) describing exactly how artifacts were produced.</w:t>
        <w:br w:type="textWrapping"/>
      </w:r>
    </w:p>
    <w:p w:rsidR="00000000" w:rsidDel="00000000" w:rsidP="00000000" w:rsidRDefault="00000000" w:rsidRPr="00000000" w14:paraId="00000028">
      <w:pPr>
        <w:numPr>
          <w:ilvl w:val="0"/>
          <w:numId w:val="8"/>
        </w:numPr>
        <w:spacing w:after="0" w:afterAutospacing="0" w:before="0" w:beforeAutospacing="0" w:lineRule="auto"/>
        <w:ind w:left="720" w:hanging="360"/>
      </w:pPr>
      <w:r w:rsidDel="00000000" w:rsidR="00000000" w:rsidRPr="00000000">
        <w:rPr>
          <w:i w:val="1"/>
          <w:rtl w:val="0"/>
        </w:rPr>
        <w:t xml:space="preserve">Implement rigorous code review and CI gating</w:t>
      </w:r>
      <w:r w:rsidDel="00000000" w:rsidR="00000000" w:rsidRPr="00000000">
        <w:rPr>
          <w:rtl w:val="0"/>
        </w:rPr>
        <w:t xml:space="preserve">: Require peer reviews, automated static analysis, dependency checks, and binary comparison before release.</w:t>
        <w:br w:type="textWrapping"/>
      </w:r>
    </w:p>
    <w:p w:rsidR="00000000" w:rsidDel="00000000" w:rsidP="00000000" w:rsidRDefault="00000000" w:rsidRPr="00000000" w14:paraId="00000029">
      <w:pPr>
        <w:numPr>
          <w:ilvl w:val="0"/>
          <w:numId w:val="8"/>
        </w:numPr>
        <w:spacing w:after="240" w:before="0" w:beforeAutospacing="0" w:lineRule="auto"/>
        <w:ind w:left="720" w:hanging="360"/>
      </w:pPr>
      <w:r w:rsidDel="00000000" w:rsidR="00000000" w:rsidRPr="00000000">
        <w:rPr>
          <w:i w:val="1"/>
          <w:rtl w:val="0"/>
        </w:rPr>
        <w:t xml:space="preserve">Monitor build integrity</w:t>
      </w:r>
      <w:r w:rsidDel="00000000" w:rsidR="00000000" w:rsidRPr="00000000">
        <w:rPr>
          <w:rtl w:val="0"/>
        </w:rPr>
        <w:t xml:space="preserve">: Log and alert on suspicious CI job changes, new build artifacts produced outside expected windows, or unknown binaries appearing in artifact stores.</w:t>
        <w:br w:type="textWrapping"/>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For Consumers / Integrators</w:t>
      </w:r>
    </w:p>
    <w:p w:rsidR="00000000" w:rsidDel="00000000" w:rsidP="00000000" w:rsidRDefault="00000000" w:rsidRPr="00000000" w14:paraId="0000002B">
      <w:pPr>
        <w:numPr>
          <w:ilvl w:val="0"/>
          <w:numId w:val="7"/>
        </w:numPr>
        <w:spacing w:after="0" w:afterAutospacing="0" w:before="240" w:lineRule="auto"/>
        <w:ind w:left="720" w:hanging="360"/>
      </w:pPr>
      <w:r w:rsidDel="00000000" w:rsidR="00000000" w:rsidRPr="00000000">
        <w:rPr>
          <w:i w:val="1"/>
          <w:rtl w:val="0"/>
        </w:rPr>
        <w:t xml:space="preserve">Verify artifacts beyond code signing</w:t>
      </w:r>
      <w:r w:rsidDel="00000000" w:rsidR="00000000" w:rsidRPr="00000000">
        <w:rPr>
          <w:rtl w:val="0"/>
        </w:rPr>
        <w:t xml:space="preserve">: Validate artifacts against vendor-published provenance data/SBOMs and, where possible, verify reproducible build outputs.</w:t>
        <w:br w:type="textWrapping"/>
      </w:r>
    </w:p>
    <w:p w:rsidR="00000000" w:rsidDel="00000000" w:rsidP="00000000" w:rsidRDefault="00000000" w:rsidRPr="00000000" w14:paraId="0000002C">
      <w:pPr>
        <w:numPr>
          <w:ilvl w:val="0"/>
          <w:numId w:val="7"/>
        </w:numPr>
        <w:spacing w:after="0" w:afterAutospacing="0" w:before="0" w:beforeAutospacing="0" w:lineRule="auto"/>
        <w:ind w:left="720" w:hanging="360"/>
      </w:pPr>
      <w:r w:rsidDel="00000000" w:rsidR="00000000" w:rsidRPr="00000000">
        <w:rPr>
          <w:i w:val="1"/>
          <w:rtl w:val="0"/>
        </w:rPr>
        <w:t xml:space="preserve">Limit implicit trust</w:t>
      </w:r>
      <w:r w:rsidDel="00000000" w:rsidR="00000000" w:rsidRPr="00000000">
        <w:rPr>
          <w:rtl w:val="0"/>
        </w:rPr>
        <w:t xml:space="preserve">: Treat vendor updates as potentially risky — route them through staging validation environments and behavioral sandboxing before production rollout.</w:t>
        <w:br w:type="textWrapping"/>
      </w:r>
    </w:p>
    <w:p w:rsidR="00000000" w:rsidDel="00000000" w:rsidP="00000000" w:rsidRDefault="00000000" w:rsidRPr="00000000" w14:paraId="0000002D">
      <w:pPr>
        <w:numPr>
          <w:ilvl w:val="0"/>
          <w:numId w:val="7"/>
        </w:numPr>
        <w:spacing w:after="0" w:afterAutospacing="0" w:before="0" w:beforeAutospacing="0" w:lineRule="auto"/>
        <w:ind w:left="720" w:hanging="360"/>
      </w:pPr>
      <w:r w:rsidDel="00000000" w:rsidR="00000000" w:rsidRPr="00000000">
        <w:rPr>
          <w:i w:val="1"/>
          <w:rtl w:val="0"/>
        </w:rPr>
        <w:t xml:space="preserve">Segment update channels</w:t>
      </w:r>
      <w:r w:rsidDel="00000000" w:rsidR="00000000" w:rsidRPr="00000000">
        <w:rPr>
          <w:rtl w:val="0"/>
        </w:rPr>
        <w:t xml:space="preserve">: Apply network segmentation so that compromised update clients cannot directly reach critical administrative domains or credentials.</w:t>
        <w:br w:type="textWrapping"/>
      </w:r>
    </w:p>
    <w:p w:rsidR="00000000" w:rsidDel="00000000" w:rsidP="00000000" w:rsidRDefault="00000000" w:rsidRPr="00000000" w14:paraId="0000002E">
      <w:pPr>
        <w:numPr>
          <w:ilvl w:val="0"/>
          <w:numId w:val="7"/>
        </w:numPr>
        <w:spacing w:after="0" w:afterAutospacing="0" w:before="0" w:beforeAutospacing="0" w:lineRule="auto"/>
        <w:ind w:left="720" w:hanging="360"/>
      </w:pPr>
      <w:r w:rsidDel="00000000" w:rsidR="00000000" w:rsidRPr="00000000">
        <w:rPr>
          <w:i w:val="1"/>
          <w:rtl w:val="0"/>
        </w:rPr>
        <w:t xml:space="preserve">Use least privilege on vendor agents</w:t>
      </w:r>
      <w:r w:rsidDel="00000000" w:rsidR="00000000" w:rsidRPr="00000000">
        <w:rPr>
          <w:rtl w:val="0"/>
        </w:rPr>
        <w:t xml:space="preserve">: Run vendor software with minimal privileges; avoid granting administrative tokens to update processes.</w:t>
        <w:br w:type="textWrapping"/>
      </w:r>
    </w:p>
    <w:p w:rsidR="00000000" w:rsidDel="00000000" w:rsidP="00000000" w:rsidRDefault="00000000" w:rsidRPr="00000000" w14:paraId="0000002F">
      <w:pPr>
        <w:numPr>
          <w:ilvl w:val="0"/>
          <w:numId w:val="7"/>
        </w:numPr>
        <w:spacing w:after="240" w:before="0" w:beforeAutospacing="0" w:lineRule="auto"/>
        <w:ind w:left="720" w:hanging="360"/>
      </w:pPr>
      <w:r w:rsidDel="00000000" w:rsidR="00000000" w:rsidRPr="00000000">
        <w:rPr>
          <w:i w:val="1"/>
          <w:rtl w:val="0"/>
        </w:rPr>
        <w:t xml:space="preserve">Monitor telemetry</w:t>
      </w:r>
      <w:r w:rsidDel="00000000" w:rsidR="00000000" w:rsidRPr="00000000">
        <w:rPr>
          <w:rtl w:val="0"/>
        </w:rPr>
        <w:t xml:space="preserve">: Deploy EDR and network monitoring (DNS, HTTP) to detect anomalous C2 patterns; hunt for unusual child processes of legitimate vendor agents.</w:t>
        <w:br w:type="textWrapping"/>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3d8nbe67kbko" w:id="6"/>
      <w:bookmarkEnd w:id="6"/>
      <w:r w:rsidDel="00000000" w:rsidR="00000000" w:rsidRPr="00000000">
        <w:rPr>
          <w:b w:val="1"/>
          <w:color w:val="000000"/>
          <w:sz w:val="26"/>
          <w:szCs w:val="26"/>
          <w:rtl w:val="0"/>
        </w:rPr>
        <w:t xml:space="preserve">6. Fixes &amp; Vendor Response (Typical &amp; Recommended Actions)</w:t>
      </w:r>
    </w:p>
    <w:p w:rsidR="00000000" w:rsidDel="00000000" w:rsidP="00000000" w:rsidRDefault="00000000" w:rsidRPr="00000000" w14:paraId="00000032">
      <w:pPr>
        <w:spacing w:after="240" w:before="240" w:lineRule="auto"/>
        <w:rPr/>
      </w:pPr>
      <w:r w:rsidDel="00000000" w:rsidR="00000000" w:rsidRPr="00000000">
        <w:rPr>
          <w:rtl w:val="0"/>
        </w:rPr>
        <w:t xml:space="preserve">When such a compromise is discovered, a rapid and coordinated response is essential:</w:t>
      </w:r>
    </w:p>
    <w:p w:rsidR="00000000" w:rsidDel="00000000" w:rsidP="00000000" w:rsidRDefault="00000000" w:rsidRPr="00000000" w14:paraId="00000033">
      <w:pPr>
        <w:numPr>
          <w:ilvl w:val="0"/>
          <w:numId w:val="4"/>
        </w:numPr>
        <w:spacing w:after="0" w:afterAutospacing="0" w:before="240" w:lineRule="auto"/>
        <w:ind w:left="720" w:hanging="360"/>
      </w:pPr>
      <w:r w:rsidDel="00000000" w:rsidR="00000000" w:rsidRPr="00000000">
        <w:rPr>
          <w:i w:val="1"/>
          <w:rtl w:val="0"/>
        </w:rPr>
        <w:t xml:space="preserve">Revoke &amp; rotate signing keys</w:t>
      </w:r>
      <w:r w:rsidDel="00000000" w:rsidR="00000000" w:rsidRPr="00000000">
        <w:rPr>
          <w:rtl w:val="0"/>
        </w:rPr>
        <w:t xml:space="preserve"> (or rotate trust if keys are thought to be compromised).</w:t>
        <w:br w:type="textWrapping"/>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i w:val="1"/>
          <w:rtl w:val="0"/>
        </w:rPr>
        <w:t xml:space="preserve">Pull compromised artifacts</w:t>
      </w:r>
      <w:r w:rsidDel="00000000" w:rsidR="00000000" w:rsidRPr="00000000">
        <w:rPr>
          <w:rtl w:val="0"/>
        </w:rPr>
        <w:t xml:space="preserve"> from distribution servers and CDNs, publish emergency advisories, and provide clean artifacts signed with new keys.</w:t>
        <w:br w:type="textWrapping"/>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i w:val="1"/>
          <w:rtl w:val="0"/>
        </w:rPr>
        <w:t xml:space="preserve">Provide detection guidance &amp; IoCs</w:t>
      </w:r>
      <w:r w:rsidDel="00000000" w:rsidR="00000000" w:rsidRPr="00000000">
        <w:rPr>
          <w:rtl w:val="0"/>
        </w:rPr>
        <w:t xml:space="preserve"> (indicators such as hashes, domains, mutexes) and partner with vendors/ISACs for sharing.</w:t>
        <w:br w:type="textWrapping"/>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i w:val="1"/>
          <w:rtl w:val="0"/>
        </w:rPr>
        <w:t xml:space="preserve">Assist customers with credential rotation and forensic support</w:t>
      </w:r>
      <w:r w:rsidDel="00000000" w:rsidR="00000000" w:rsidRPr="00000000">
        <w:rPr>
          <w:rtl w:val="0"/>
        </w:rPr>
        <w:t xml:space="preserve">; recommend rebuilding or reimaging affected hosts if persistent compromise cannot be ruled out.</w:t>
        <w:br w:type="textWrapping"/>
      </w:r>
    </w:p>
    <w:p w:rsidR="00000000" w:rsidDel="00000000" w:rsidP="00000000" w:rsidRDefault="00000000" w:rsidRPr="00000000" w14:paraId="00000037">
      <w:pPr>
        <w:numPr>
          <w:ilvl w:val="0"/>
          <w:numId w:val="4"/>
        </w:numPr>
        <w:spacing w:after="240" w:before="0" w:beforeAutospacing="0" w:lineRule="auto"/>
        <w:ind w:left="720" w:hanging="360"/>
      </w:pPr>
      <w:r w:rsidDel="00000000" w:rsidR="00000000" w:rsidRPr="00000000">
        <w:rPr>
          <w:i w:val="1"/>
          <w:rtl w:val="0"/>
        </w:rPr>
        <w:t xml:space="preserve">Conduct a root-cause vendor forensic investigation</w:t>
      </w:r>
      <w:r w:rsidDel="00000000" w:rsidR="00000000" w:rsidRPr="00000000">
        <w:rPr>
          <w:rtl w:val="0"/>
        </w:rPr>
        <w:t xml:space="preserve"> and publish findings to help other organizations assess exposure and harden vendor processes.</w:t>
        <w:br w:type="textWrapping"/>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7u7ilm6s05rq" w:id="7"/>
      <w:bookmarkEnd w:id="7"/>
      <w:r w:rsidDel="00000000" w:rsidR="00000000" w:rsidRPr="00000000">
        <w:rPr>
          <w:b w:val="1"/>
          <w:color w:val="000000"/>
          <w:sz w:val="26"/>
          <w:szCs w:val="26"/>
          <w:rtl w:val="0"/>
        </w:rPr>
        <w:t xml:space="preserve">7. If No Fix Available / Immediate Remediation Recommendations</w:t>
      </w:r>
    </w:p>
    <w:p w:rsidR="00000000" w:rsidDel="00000000" w:rsidP="00000000" w:rsidRDefault="00000000" w:rsidRPr="00000000" w14:paraId="0000003A">
      <w:pPr>
        <w:spacing w:after="240" w:before="240" w:lineRule="auto"/>
        <w:rPr/>
      </w:pPr>
      <w:r w:rsidDel="00000000" w:rsidR="00000000" w:rsidRPr="00000000">
        <w:rPr>
          <w:rtl w:val="0"/>
        </w:rPr>
        <w:t xml:space="preserve">If customers cannot immediately apply a vendor fix, recommended mitigations include:</w:t>
      </w:r>
    </w:p>
    <w:p w:rsidR="00000000" w:rsidDel="00000000" w:rsidP="00000000" w:rsidRDefault="00000000" w:rsidRPr="00000000" w14:paraId="0000003B">
      <w:pPr>
        <w:numPr>
          <w:ilvl w:val="0"/>
          <w:numId w:val="1"/>
        </w:numPr>
        <w:spacing w:after="0" w:afterAutospacing="0" w:before="240" w:lineRule="auto"/>
        <w:ind w:left="720" w:hanging="360"/>
      </w:pPr>
      <w:r w:rsidDel="00000000" w:rsidR="00000000" w:rsidRPr="00000000">
        <w:rPr>
          <w:i w:val="1"/>
          <w:rtl w:val="0"/>
        </w:rPr>
        <w:t xml:space="preserve">Isolate and disable the vendor software</w:t>
      </w:r>
      <w:r w:rsidDel="00000000" w:rsidR="00000000" w:rsidRPr="00000000">
        <w:rPr>
          <w:rtl w:val="0"/>
        </w:rPr>
        <w:t xml:space="preserve"> from sensitive networks until the artifact provenance is validated.</w:t>
        <w:br w:type="textWrapping"/>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i w:val="1"/>
          <w:rtl w:val="0"/>
        </w:rPr>
        <w:t xml:space="preserve">Block known or suspicious C2 endpoints</w:t>
      </w:r>
      <w:r w:rsidDel="00000000" w:rsidR="00000000" w:rsidRPr="00000000">
        <w:rPr>
          <w:rtl w:val="0"/>
        </w:rPr>
        <w:t xml:space="preserve"> at the network perimeter and via DNS filtering.</w:t>
        <w:br w:type="textWrapping"/>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i w:val="1"/>
          <w:rtl w:val="0"/>
        </w:rPr>
        <w:t xml:space="preserve">Rotate credentials and tokens</w:t>
      </w:r>
      <w:r w:rsidDel="00000000" w:rsidR="00000000" w:rsidRPr="00000000">
        <w:rPr>
          <w:rtl w:val="0"/>
        </w:rPr>
        <w:t xml:space="preserve"> that the vendor software might access, especially long-lived keys.</w:t>
        <w:br w:type="textWrapping"/>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i w:val="1"/>
          <w:rtl w:val="0"/>
        </w:rPr>
        <w:t xml:space="preserve">Deploy compensating monitoring</w:t>
      </w:r>
      <w:r w:rsidDel="00000000" w:rsidR="00000000" w:rsidRPr="00000000">
        <w:rPr>
          <w:rtl w:val="0"/>
        </w:rPr>
        <w:t xml:space="preserve"> (increase log collection from vendor agent processes, inspect process invocation chains) to detect suspicious behavior.</w:t>
        <w:br w:type="textWrapping"/>
      </w:r>
    </w:p>
    <w:p w:rsidR="00000000" w:rsidDel="00000000" w:rsidP="00000000" w:rsidRDefault="00000000" w:rsidRPr="00000000" w14:paraId="0000003F">
      <w:pPr>
        <w:numPr>
          <w:ilvl w:val="0"/>
          <w:numId w:val="1"/>
        </w:numPr>
        <w:spacing w:after="240" w:before="0" w:beforeAutospacing="0" w:lineRule="auto"/>
        <w:ind w:left="720" w:hanging="360"/>
      </w:pPr>
      <w:r w:rsidDel="00000000" w:rsidR="00000000" w:rsidRPr="00000000">
        <w:rPr>
          <w:i w:val="1"/>
          <w:rtl w:val="0"/>
        </w:rPr>
        <w:t xml:space="preserve">Engage incident response</w:t>
      </w:r>
      <w:r w:rsidDel="00000000" w:rsidR="00000000" w:rsidRPr="00000000">
        <w:rPr>
          <w:rtl w:val="0"/>
        </w:rPr>
        <w:t xml:space="preserve"> and consider rebuilding critical systems from known-good images.</w:t>
        <w:br w:type="textWrapping"/>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61saklmjtq1g" w:id="8"/>
      <w:bookmarkEnd w:id="8"/>
      <w:r w:rsidDel="00000000" w:rsidR="00000000" w:rsidRPr="00000000">
        <w:rPr>
          <w:b w:val="1"/>
          <w:color w:val="000000"/>
          <w:sz w:val="26"/>
          <w:szCs w:val="26"/>
          <w:rtl w:val="0"/>
        </w:rPr>
        <w:t xml:space="preserve">8. Reference Material (Advisories &amp; Further Context)</w:t>
      </w:r>
    </w:p>
    <w:p w:rsidR="00000000" w:rsidDel="00000000" w:rsidP="00000000" w:rsidRDefault="00000000" w:rsidRPr="00000000" w14:paraId="00000042">
      <w:pPr>
        <w:numPr>
          <w:ilvl w:val="0"/>
          <w:numId w:val="3"/>
        </w:numPr>
        <w:spacing w:after="0" w:afterAutospacing="0" w:before="240" w:lineRule="auto"/>
        <w:ind w:left="720" w:hanging="360"/>
      </w:pPr>
      <w:r w:rsidDel="00000000" w:rsidR="00000000" w:rsidRPr="00000000">
        <w:rPr>
          <w:rtl w:val="0"/>
        </w:rPr>
        <w:t xml:space="preserve">ESET Threat Report – Operation NightScout Analysis:</w:t>
        <w:br w:type="textWrapping"/>
        <w:t xml:space="preserve"> https://www.welivesecurity.com/en/eset-research/operation-nighscout-targets-android-emulators-supply-chain-attack/</w:t>
        <w:br w:type="textWrapping"/>
      </w:r>
    </w:p>
    <w:p w:rsidR="00000000" w:rsidDel="00000000" w:rsidP="00000000" w:rsidRDefault="00000000" w:rsidRPr="00000000" w14:paraId="00000043">
      <w:pPr>
        <w:numPr>
          <w:ilvl w:val="0"/>
          <w:numId w:val="3"/>
        </w:numPr>
        <w:spacing w:after="0" w:afterAutospacing="0" w:before="0" w:beforeAutospacing="0" w:lineRule="auto"/>
        <w:ind w:left="720" w:hanging="360"/>
      </w:pPr>
      <w:r w:rsidDel="00000000" w:rsidR="00000000" w:rsidRPr="00000000">
        <w:rPr>
          <w:rtl w:val="0"/>
        </w:rPr>
        <w:t xml:space="preserve">BleepingComputer – Operation NightScout Supply Chain Attack Targets Gamers:</w:t>
        <w:br w:type="textWrapping"/>
        <w:t xml:space="preserve"> https://www.bleepingcomputer.com/news/security/operation-nighscout-supply-chain-attack-targets-android-emulators/</w:t>
        <w:br w:type="textWrapping"/>
      </w:r>
    </w:p>
    <w:p w:rsidR="00000000" w:rsidDel="00000000" w:rsidP="00000000" w:rsidRDefault="00000000" w:rsidRPr="00000000" w14:paraId="00000044">
      <w:pPr>
        <w:numPr>
          <w:ilvl w:val="0"/>
          <w:numId w:val="3"/>
        </w:numPr>
        <w:spacing w:after="0" w:afterAutospacing="0" w:before="0" w:beforeAutospacing="0" w:lineRule="auto"/>
        <w:ind w:left="720" w:hanging="360"/>
      </w:pPr>
      <w:r w:rsidDel="00000000" w:rsidR="00000000" w:rsidRPr="00000000">
        <w:rPr>
          <w:rtl w:val="0"/>
        </w:rPr>
        <w:t xml:space="preserve">ENISA Threat Landscape – 2021 Supply Chain Attacks:</w:t>
        <w:br w:type="textWrapping"/>
        <w:t xml:space="preserve"> https://www.enisa.europa.eu/publications/threat-landscape-for-supply-chain-attacks</w:t>
        <w:br w:type="textWrapping"/>
      </w:r>
    </w:p>
    <w:p w:rsidR="00000000" w:rsidDel="00000000" w:rsidP="00000000" w:rsidRDefault="00000000" w:rsidRPr="00000000" w14:paraId="00000045">
      <w:pPr>
        <w:numPr>
          <w:ilvl w:val="0"/>
          <w:numId w:val="3"/>
        </w:numPr>
        <w:spacing w:after="0" w:afterAutospacing="0" w:before="0" w:beforeAutospacing="0" w:lineRule="auto"/>
        <w:ind w:left="720" w:hanging="360"/>
      </w:pPr>
      <w:r w:rsidDel="00000000" w:rsidR="00000000" w:rsidRPr="00000000">
        <w:rPr>
          <w:rtl w:val="0"/>
        </w:rPr>
        <w:t xml:space="preserve">MITRE ATT&amp;CK – Software Update Compromise Techniques (T1195.002):</w:t>
        <w:br w:type="textWrapping"/>
        <w:t xml:space="preserve"> https://attack.mitre.org/techniques/T1195/002/</w:t>
        <w:br w:type="textWrapping"/>
      </w:r>
    </w:p>
    <w:p w:rsidR="00000000" w:rsidDel="00000000" w:rsidP="00000000" w:rsidRDefault="00000000" w:rsidRPr="00000000" w14:paraId="00000046">
      <w:pPr>
        <w:numPr>
          <w:ilvl w:val="0"/>
          <w:numId w:val="3"/>
        </w:numPr>
        <w:spacing w:after="0" w:afterAutospacing="0" w:before="0" w:beforeAutospacing="0" w:lineRule="auto"/>
        <w:ind w:left="720" w:hanging="360"/>
      </w:pPr>
      <w:r w:rsidDel="00000000" w:rsidR="00000000" w:rsidRPr="00000000">
        <w:rPr>
          <w:rtl w:val="0"/>
        </w:rPr>
        <w:t xml:space="preserve">Check Point Research – Mobile Supply Chain Threats:</w:t>
        <w:br w:type="textWrapping"/>
        <w:t xml:space="preserve"> https://research.checkpoint.com/2021/android-emulator-supply-chain-attack/</w:t>
        <w:br w:type="textWrapping"/>
      </w:r>
    </w:p>
    <w:p w:rsidR="00000000" w:rsidDel="00000000" w:rsidP="00000000" w:rsidRDefault="00000000" w:rsidRPr="00000000" w14:paraId="00000047">
      <w:pPr>
        <w:numPr>
          <w:ilvl w:val="0"/>
          <w:numId w:val="3"/>
        </w:numPr>
        <w:spacing w:after="240" w:before="0" w:beforeAutospacing="0" w:lineRule="auto"/>
        <w:ind w:left="720" w:hanging="360"/>
      </w:pPr>
      <w:r w:rsidDel="00000000" w:rsidR="00000000" w:rsidRPr="00000000">
        <w:rPr>
          <w:rtl w:val="0"/>
        </w:rPr>
        <w:t xml:space="preserve">Microsoft Security Intelligence – NightScout Campaign Indicators:</w:t>
        <w:br w:type="textWrapping"/>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https://www.microsoft.com/security/blog/2021/02/01/operation-nighscout-supply-chain-attack/</w:t>
        </w:r>
      </w:hyperlink>
      <w:r w:rsidDel="00000000" w:rsidR="00000000" w:rsidRPr="00000000">
        <w:rPr>
          <w:rtl w:val="0"/>
        </w:rPr>
        <w:br w:type="textWrapping"/>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i3tqkun72x14" w:id="9"/>
      <w:bookmarkEnd w:id="9"/>
      <w:r w:rsidDel="00000000" w:rsidR="00000000" w:rsidRPr="00000000">
        <w:rPr>
          <w:b w:val="1"/>
          <w:color w:val="000000"/>
          <w:sz w:val="26"/>
          <w:szCs w:val="26"/>
          <w:rtl w:val="0"/>
        </w:rPr>
        <w:t xml:space="preserve">9. Further Reading (Academic &amp; Practitioner Resources)</w:t>
      </w:r>
    </w:p>
    <w:p w:rsidR="00000000" w:rsidDel="00000000" w:rsidP="00000000" w:rsidRDefault="00000000" w:rsidRPr="00000000" w14:paraId="0000004A">
      <w:pPr>
        <w:numPr>
          <w:ilvl w:val="0"/>
          <w:numId w:val="6"/>
        </w:numPr>
        <w:spacing w:after="0" w:afterAutospacing="0" w:before="240" w:lineRule="auto"/>
        <w:ind w:left="720" w:hanging="360"/>
      </w:pPr>
      <w:r w:rsidDel="00000000" w:rsidR="00000000" w:rsidRPr="00000000">
        <w:rPr>
          <w:rtl w:val="0"/>
        </w:rPr>
        <w:t xml:space="preserve">SANS Institute – “Mobile App Supply Chain Risks”:</w:t>
        <w:br w:type="textWrapping"/>
        <w:t xml:space="preserve"> https://www.sans.org/blog/mobile-supply-chain-attacks/</w:t>
        <w:br w:type="textWrapping"/>
      </w:r>
    </w:p>
    <w:p w:rsidR="00000000" w:rsidDel="00000000" w:rsidP="00000000" w:rsidRDefault="00000000" w:rsidRPr="00000000" w14:paraId="0000004B">
      <w:pPr>
        <w:numPr>
          <w:ilvl w:val="0"/>
          <w:numId w:val="6"/>
        </w:numPr>
        <w:spacing w:after="0" w:afterAutospacing="0" w:before="0" w:beforeAutospacing="0" w:lineRule="auto"/>
        <w:ind w:left="720" w:hanging="360"/>
      </w:pPr>
      <w:r w:rsidDel="00000000" w:rsidR="00000000" w:rsidRPr="00000000">
        <w:rPr>
          <w:rtl w:val="0"/>
        </w:rPr>
        <w:t xml:space="preserve">OpenSSF Best Practices Guide for Third-Party Updates:</w:t>
        <w:br w:type="textWrapping"/>
        <w:t xml:space="preserve"> https://openssf.org/</w:t>
        <w:br w:type="textWrapping"/>
      </w:r>
    </w:p>
    <w:p w:rsidR="00000000" w:rsidDel="00000000" w:rsidP="00000000" w:rsidRDefault="00000000" w:rsidRPr="00000000" w14:paraId="0000004C">
      <w:pPr>
        <w:numPr>
          <w:ilvl w:val="0"/>
          <w:numId w:val="6"/>
        </w:numPr>
        <w:spacing w:after="0" w:afterAutospacing="0" w:before="0" w:beforeAutospacing="0" w:lineRule="auto"/>
        <w:ind w:left="720" w:hanging="360"/>
      </w:pPr>
      <w:r w:rsidDel="00000000" w:rsidR="00000000" w:rsidRPr="00000000">
        <w:rPr>
          <w:rtl w:val="0"/>
        </w:rPr>
        <w:t xml:space="preserve">OWASP Mobile Security Testing Guide (MSTG):</w:t>
        <w:br w:type="textWrapping"/>
        <w:t xml:space="preserve"> https://owasp.org/www-project-mobile-security-testing-guide/</w:t>
        <w:br w:type="textWrapping"/>
      </w:r>
    </w:p>
    <w:p w:rsidR="00000000" w:rsidDel="00000000" w:rsidP="00000000" w:rsidRDefault="00000000" w:rsidRPr="00000000" w14:paraId="0000004D">
      <w:pPr>
        <w:numPr>
          <w:ilvl w:val="0"/>
          <w:numId w:val="6"/>
        </w:numPr>
        <w:spacing w:after="0" w:afterAutospacing="0" w:before="0" w:beforeAutospacing="0" w:lineRule="auto"/>
        <w:ind w:left="720" w:hanging="360"/>
      </w:pPr>
      <w:r w:rsidDel="00000000" w:rsidR="00000000" w:rsidRPr="00000000">
        <w:rPr>
          <w:rtl w:val="0"/>
        </w:rPr>
        <w:t xml:space="preserve">Harvard Belfer Center – Mobile Software Supply Chain Security:</w:t>
        <w:br w:type="textWrapping"/>
        <w:t xml:space="preserve"> https://www.belfercenter.org/publication/mobile-software-supply-chain</w:t>
        <w:br w:type="textWrapping"/>
      </w:r>
    </w:p>
    <w:p w:rsidR="00000000" w:rsidDel="00000000" w:rsidP="00000000" w:rsidRDefault="00000000" w:rsidRPr="00000000" w14:paraId="0000004E">
      <w:pPr>
        <w:numPr>
          <w:ilvl w:val="0"/>
          <w:numId w:val="6"/>
        </w:numPr>
        <w:spacing w:after="240" w:before="0" w:beforeAutospacing="0" w:lineRule="auto"/>
        <w:ind w:left="720" w:hanging="360"/>
      </w:pPr>
      <w:r w:rsidDel="00000000" w:rsidR="00000000" w:rsidRPr="00000000">
        <w:rPr>
          <w:rtl w:val="0"/>
        </w:rPr>
        <w:t xml:space="preserve">CrowdStrike Global Threat Report – 2021 Case Studies:</w:t>
        <w:br w:type="textWrapping"/>
        <w:t xml:space="preserve"> https://www.crowdstrike.com/global-threat-report/</w:t>
      </w:r>
      <w:r w:rsidDel="00000000" w:rsidR="00000000" w:rsidRPr="00000000">
        <w:rPr>
          <w:rtl w:val="0"/>
        </w:rPr>
        <w:br w:type="textWrapping"/>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aw4zgplj4qhw" w:id="10"/>
      <w:bookmarkEnd w:id="10"/>
      <w:r w:rsidDel="00000000" w:rsidR="00000000" w:rsidRPr="00000000">
        <w:rPr>
          <w:b w:val="1"/>
          <w:color w:val="000000"/>
          <w:sz w:val="26"/>
          <w:szCs w:val="26"/>
          <w:rtl w:val="0"/>
        </w:rPr>
        <w:t xml:space="preserve">10. Tooling (Detection, Prevention &amp; Remediation)</w:t>
      </w:r>
    </w:p>
    <w:p w:rsidR="00000000" w:rsidDel="00000000" w:rsidP="00000000" w:rsidRDefault="00000000" w:rsidRPr="00000000" w14:paraId="00000051">
      <w:pPr>
        <w:numPr>
          <w:ilvl w:val="0"/>
          <w:numId w:val="10"/>
        </w:numPr>
        <w:spacing w:after="0" w:afterAutospacing="0" w:before="240" w:lineRule="auto"/>
        <w:ind w:left="720" w:hanging="360"/>
      </w:pPr>
      <w:r w:rsidDel="00000000" w:rsidR="00000000" w:rsidRPr="00000000">
        <w:rPr>
          <w:b w:val="1"/>
          <w:rtl w:val="0"/>
        </w:rPr>
        <w:t xml:space="preserve">Mobile Security Framework (MobSF) – Static and dynamic analysis of Android apps:</w:t>
        <w:br w:type="textWrapping"/>
        <w:t xml:space="preserve"> https://mobsf.github.io/MobSF/</w:t>
        <w:br w:type="textWrapping"/>
      </w:r>
    </w:p>
    <w:p w:rsidR="00000000" w:rsidDel="00000000" w:rsidP="00000000" w:rsidRDefault="00000000" w:rsidRPr="00000000" w14:paraId="00000052">
      <w:pPr>
        <w:numPr>
          <w:ilvl w:val="0"/>
          <w:numId w:val="10"/>
        </w:numPr>
        <w:spacing w:after="0" w:afterAutospacing="0" w:before="0" w:beforeAutospacing="0" w:lineRule="auto"/>
        <w:ind w:left="720" w:hanging="360"/>
      </w:pPr>
      <w:r w:rsidDel="00000000" w:rsidR="00000000" w:rsidRPr="00000000">
        <w:rPr>
          <w:b w:val="1"/>
          <w:rtl w:val="0"/>
        </w:rPr>
        <w:t xml:space="preserve">YARA – Detection of malicious payloads in update packages:</w:t>
        <w:br w:type="textWrapping"/>
        <w:t xml:space="preserve"> https://virustotal.github.io/yara/</w:t>
        <w:br w:type="textWrapping"/>
      </w:r>
    </w:p>
    <w:p w:rsidR="00000000" w:rsidDel="00000000" w:rsidP="00000000" w:rsidRDefault="00000000" w:rsidRPr="00000000" w14:paraId="00000053">
      <w:pPr>
        <w:numPr>
          <w:ilvl w:val="0"/>
          <w:numId w:val="10"/>
        </w:numPr>
        <w:spacing w:after="0" w:afterAutospacing="0" w:before="0" w:beforeAutospacing="0" w:lineRule="auto"/>
        <w:ind w:left="720" w:hanging="360"/>
      </w:pPr>
      <w:r w:rsidDel="00000000" w:rsidR="00000000" w:rsidRPr="00000000">
        <w:rPr>
          <w:b w:val="1"/>
          <w:rtl w:val="0"/>
        </w:rPr>
        <w:t xml:space="preserve">VirusTotal – Scanning update APKs:</w:t>
        <w:br w:type="textWrapping"/>
        <w:t xml:space="preserve"> https://www.virustotal.com/</w:t>
        <w:br w:type="textWrapping"/>
      </w:r>
    </w:p>
    <w:p w:rsidR="00000000" w:rsidDel="00000000" w:rsidP="00000000" w:rsidRDefault="00000000" w:rsidRPr="00000000" w14:paraId="00000054">
      <w:pPr>
        <w:numPr>
          <w:ilvl w:val="0"/>
          <w:numId w:val="10"/>
        </w:numPr>
        <w:spacing w:after="0" w:afterAutospacing="0" w:before="0" w:beforeAutospacing="0" w:lineRule="auto"/>
        <w:ind w:left="720" w:hanging="360"/>
      </w:pPr>
      <w:r w:rsidDel="00000000" w:rsidR="00000000" w:rsidRPr="00000000">
        <w:rPr>
          <w:b w:val="1"/>
          <w:rtl w:val="0"/>
        </w:rPr>
        <w:t xml:space="preserve">Zeek – Detecting anomalous update behavior in networks:</w:t>
        <w:br w:type="textWrapping"/>
        <w:t xml:space="preserve"> https://zeek.org/</w:t>
        <w:br w:type="textWrapping"/>
      </w:r>
    </w:p>
    <w:p w:rsidR="00000000" w:rsidDel="00000000" w:rsidP="00000000" w:rsidRDefault="00000000" w:rsidRPr="00000000" w14:paraId="00000055">
      <w:pPr>
        <w:numPr>
          <w:ilvl w:val="0"/>
          <w:numId w:val="10"/>
        </w:numPr>
        <w:spacing w:after="0" w:afterAutospacing="0" w:before="0" w:beforeAutospacing="0" w:lineRule="auto"/>
        <w:ind w:left="720" w:hanging="360"/>
      </w:pPr>
      <w:r w:rsidDel="00000000" w:rsidR="00000000" w:rsidRPr="00000000">
        <w:rPr>
          <w:b w:val="1"/>
          <w:rtl w:val="0"/>
        </w:rPr>
        <w:t xml:space="preserve">Google Play Protect &amp; Play Developer Console – App integrity monitoring:</w:t>
        <w:br w:type="textWrapping"/>
        <w:t xml:space="preserve"> https://developer.android.com/distribute/play-protect</w:t>
        <w:br w:type="textWrapping"/>
      </w:r>
    </w:p>
    <w:p w:rsidR="00000000" w:rsidDel="00000000" w:rsidP="00000000" w:rsidRDefault="00000000" w:rsidRPr="00000000" w14:paraId="00000056">
      <w:pPr>
        <w:numPr>
          <w:ilvl w:val="0"/>
          <w:numId w:val="10"/>
        </w:numPr>
        <w:spacing w:after="240" w:before="0" w:beforeAutospacing="0" w:lineRule="auto"/>
        <w:ind w:left="720" w:hanging="360"/>
      </w:pPr>
      <w:r w:rsidDel="00000000" w:rsidR="00000000" w:rsidRPr="00000000">
        <w:rPr>
          <w:b w:val="1"/>
          <w:rtl w:val="0"/>
        </w:rPr>
        <w:t xml:space="preserve">Snyk – Supply chain vulnerability scanning:</w:t>
        <w:br w:type="textWrapping"/>
        <w:t xml:space="preserve"> https://snyk.io/</w:t>
      </w:r>
      <w:r w:rsidDel="00000000" w:rsidR="00000000" w:rsidRPr="00000000">
        <w:rPr>
          <w:rtl w:val="0"/>
        </w:rPr>
        <w:br w:type="textWrapping"/>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p3mzadtdo6oe" w:id="11"/>
      <w:bookmarkEnd w:id="11"/>
      <w:r w:rsidDel="00000000" w:rsidR="00000000" w:rsidRPr="00000000">
        <w:rPr>
          <w:b w:val="1"/>
          <w:sz w:val="34"/>
          <w:szCs w:val="34"/>
          <w:rtl w:val="0"/>
        </w:rPr>
        <w:t xml:space="preserve">Closing Remarks</w:t>
      </w:r>
    </w:p>
    <w:p w:rsidR="00000000" w:rsidDel="00000000" w:rsidP="00000000" w:rsidRDefault="00000000" w:rsidRPr="00000000" w14:paraId="00000059">
      <w:pPr>
        <w:spacing w:after="240" w:before="240" w:lineRule="auto"/>
        <w:rPr/>
      </w:pPr>
      <w:r w:rsidDel="00000000" w:rsidR="00000000" w:rsidRPr="00000000">
        <w:rPr>
          <w:rtl w:val="0"/>
        </w:rPr>
        <w:t xml:space="preserve">Operation NightScout is representative of a high-impact attack class: when a trusted vendor’s build or update mechanisms fail, the consequences propagate widely and silently. The defensive posture must therefore include not only runtime protections but also prescriptive improvements to vendor process assurance: hardened build pipelines, provenance attestations, controlled signing, and robust incident coordination channels. For researchers and defenders, NightScout is a useful teaching model — it synthesizes the attack stages defenders must watch for and the controls that reduce systemic risk.</w:t>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icrosoft.com/security/blog/2021/02/01/operation-nighscout-supply-chain-attack/" TargetMode="External"/><Relationship Id="rId7" Type="http://schemas.openxmlformats.org/officeDocument/2006/relationships/hyperlink" Target="https://www.microsoft.com/security/blog/2021/02/01/operation-nighscout-supply-chain-at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