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1DD24" w14:textId="77777777" w:rsidR="00470714" w:rsidRPr="00470714" w:rsidRDefault="00470714" w:rsidP="0047071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70714">
        <w:rPr>
          <w:rFonts w:ascii="Times New Roman" w:hAnsi="Times New Roman" w:cs="Times New Roman"/>
          <w:b/>
          <w:bCs/>
          <w:sz w:val="36"/>
          <w:szCs w:val="36"/>
        </w:rPr>
        <w:t>2.1. Анализ целей проекта</w:t>
      </w:r>
    </w:p>
    <w:p w14:paraId="266D9D59" w14:textId="77777777" w:rsidR="00470714" w:rsidRPr="00470714" w:rsidRDefault="00470714" w:rsidP="0047071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70714">
        <w:rPr>
          <w:rFonts w:ascii="Times New Roman" w:hAnsi="Times New Roman" w:cs="Times New Roman"/>
          <w:b/>
          <w:bCs/>
          <w:sz w:val="36"/>
          <w:szCs w:val="36"/>
        </w:rPr>
        <w:t>Бизнес-цели и критерии их достижения</w:t>
      </w:r>
    </w:p>
    <w:p w14:paraId="563A2F0E" w14:textId="77777777" w:rsidR="00470714" w:rsidRPr="00470714" w:rsidRDefault="00470714" w:rsidP="00470714">
      <w:pPr>
        <w:rPr>
          <w:rFonts w:ascii="Times New Roman" w:hAnsi="Times New Roman" w:cs="Times New Roman"/>
          <w:sz w:val="28"/>
          <w:szCs w:val="28"/>
        </w:rPr>
      </w:pPr>
      <w:r w:rsidRPr="00470714">
        <w:rPr>
          <w:rFonts w:ascii="Times New Roman" w:hAnsi="Times New Roman" w:cs="Times New Roman"/>
          <w:sz w:val="28"/>
          <w:szCs w:val="28"/>
        </w:rPr>
        <w:t>Кредитная организация несёт потери от невозврата займов и заинтересована в раннем выявлении рискованных заёмщиков. Исходя из этого, сформулированы следующие бизнес-цели.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3606"/>
        <w:gridCol w:w="5373"/>
      </w:tblGrid>
      <w:tr w:rsidR="00470714" w:rsidRPr="00470714" w14:paraId="4F8C1C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C101E" w14:textId="77777777" w:rsidR="00470714" w:rsidRPr="00470714" w:rsidRDefault="00470714" w:rsidP="004707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07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273152E" w14:textId="77777777" w:rsidR="00470714" w:rsidRPr="00470714" w:rsidRDefault="00470714" w:rsidP="004707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07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Бизнес-цель</w:t>
            </w:r>
          </w:p>
        </w:tc>
        <w:tc>
          <w:tcPr>
            <w:tcW w:w="0" w:type="auto"/>
            <w:vAlign w:val="center"/>
            <w:hideMark/>
          </w:tcPr>
          <w:p w14:paraId="74006E15" w14:textId="77777777" w:rsidR="00470714" w:rsidRPr="00470714" w:rsidRDefault="00470714" w:rsidP="0047071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07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 достижения</w:t>
            </w:r>
          </w:p>
        </w:tc>
      </w:tr>
      <w:tr w:rsidR="00470714" w:rsidRPr="00470714" w14:paraId="2434A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9EA5E" w14:textId="77777777" w:rsidR="00470714" w:rsidRPr="00470714" w:rsidRDefault="00470714" w:rsidP="00470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714">
              <w:rPr>
                <w:rFonts w:ascii="Times New Roman" w:hAnsi="Times New Roman" w:cs="Times New Roman"/>
                <w:sz w:val="28"/>
                <w:szCs w:val="28"/>
              </w:rPr>
              <w:t>Б1</w:t>
            </w:r>
          </w:p>
        </w:tc>
        <w:tc>
          <w:tcPr>
            <w:tcW w:w="0" w:type="auto"/>
            <w:vAlign w:val="center"/>
            <w:hideMark/>
          </w:tcPr>
          <w:p w14:paraId="41E108B1" w14:textId="77777777" w:rsidR="00470714" w:rsidRPr="00470714" w:rsidRDefault="00470714" w:rsidP="00470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714">
              <w:rPr>
                <w:rFonts w:ascii="Times New Roman" w:hAnsi="Times New Roman" w:cs="Times New Roman"/>
                <w:sz w:val="28"/>
                <w:szCs w:val="28"/>
              </w:rPr>
              <w:t>Выявить факторы, наиболее связанные с дефолтом</w:t>
            </w:r>
          </w:p>
        </w:tc>
        <w:tc>
          <w:tcPr>
            <w:tcW w:w="0" w:type="auto"/>
            <w:vAlign w:val="center"/>
            <w:hideMark/>
          </w:tcPr>
          <w:p w14:paraId="71174165" w14:textId="77777777" w:rsidR="00470714" w:rsidRPr="00470714" w:rsidRDefault="00470714" w:rsidP="00470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714">
              <w:rPr>
                <w:rFonts w:ascii="Times New Roman" w:hAnsi="Times New Roman" w:cs="Times New Roman"/>
                <w:sz w:val="28"/>
                <w:szCs w:val="28"/>
              </w:rPr>
              <w:t>Ранжированный список факторов, топ-10 подтверждён двумя независимыми методами (</w:t>
            </w:r>
            <w:proofErr w:type="spellStart"/>
            <w:r w:rsidRPr="00470714">
              <w:rPr>
                <w:rFonts w:ascii="Times New Roman" w:hAnsi="Times New Roman" w:cs="Times New Roman"/>
                <w:sz w:val="28"/>
                <w:szCs w:val="28"/>
              </w:rPr>
              <w:t>Permutation</w:t>
            </w:r>
            <w:proofErr w:type="spellEnd"/>
            <w:r w:rsidRPr="004707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70714">
              <w:rPr>
                <w:rFonts w:ascii="Times New Roman" w:hAnsi="Times New Roman" w:cs="Times New Roman"/>
                <w:sz w:val="28"/>
                <w:szCs w:val="28"/>
              </w:rPr>
              <w:t>importance</w:t>
            </w:r>
            <w:proofErr w:type="spellEnd"/>
            <w:r w:rsidRPr="00470714">
              <w:rPr>
                <w:rFonts w:ascii="Times New Roman" w:hAnsi="Times New Roman" w:cs="Times New Roman"/>
                <w:sz w:val="28"/>
                <w:szCs w:val="28"/>
              </w:rPr>
              <w:t xml:space="preserve"> и SHAP)</w:t>
            </w:r>
          </w:p>
        </w:tc>
      </w:tr>
      <w:tr w:rsidR="00470714" w:rsidRPr="00470714" w14:paraId="6168A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98AFC" w14:textId="77777777" w:rsidR="00470714" w:rsidRPr="00470714" w:rsidRDefault="00470714" w:rsidP="00470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714">
              <w:rPr>
                <w:rFonts w:ascii="Times New Roman" w:hAnsi="Times New Roman" w:cs="Times New Roman"/>
                <w:sz w:val="28"/>
                <w:szCs w:val="28"/>
              </w:rPr>
              <w:t>Б2</w:t>
            </w:r>
          </w:p>
        </w:tc>
        <w:tc>
          <w:tcPr>
            <w:tcW w:w="0" w:type="auto"/>
            <w:vAlign w:val="center"/>
            <w:hideMark/>
          </w:tcPr>
          <w:p w14:paraId="38D5920E" w14:textId="77777777" w:rsidR="00470714" w:rsidRPr="00470714" w:rsidRDefault="00470714" w:rsidP="00470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714">
              <w:rPr>
                <w:rFonts w:ascii="Times New Roman" w:hAnsi="Times New Roman" w:cs="Times New Roman"/>
                <w:sz w:val="28"/>
                <w:szCs w:val="28"/>
              </w:rPr>
              <w:t>Построить модель раннего обнаружения высокорисковых заёмщиков</w:t>
            </w:r>
          </w:p>
        </w:tc>
        <w:tc>
          <w:tcPr>
            <w:tcW w:w="0" w:type="auto"/>
            <w:vAlign w:val="center"/>
            <w:hideMark/>
          </w:tcPr>
          <w:p w14:paraId="7450F8E0" w14:textId="77777777" w:rsidR="00470714" w:rsidRPr="00470714" w:rsidRDefault="00470714" w:rsidP="00470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714">
              <w:rPr>
                <w:rFonts w:ascii="Times New Roman" w:hAnsi="Times New Roman" w:cs="Times New Roman"/>
                <w:sz w:val="28"/>
                <w:szCs w:val="28"/>
              </w:rPr>
              <w:t>AUC-ROC не ниже 0,70; KS не ниже 0,30; в 20 % наиболее рисковых заёмщиков попадает не менее 45 % дефолтов</w:t>
            </w:r>
          </w:p>
        </w:tc>
      </w:tr>
      <w:tr w:rsidR="00470714" w:rsidRPr="00470714" w14:paraId="56980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EC5DD" w14:textId="77777777" w:rsidR="00470714" w:rsidRPr="00470714" w:rsidRDefault="00470714" w:rsidP="00470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714">
              <w:rPr>
                <w:rFonts w:ascii="Times New Roman" w:hAnsi="Times New Roman" w:cs="Times New Roman"/>
                <w:sz w:val="28"/>
                <w:szCs w:val="28"/>
              </w:rPr>
              <w:t>Б3</w:t>
            </w:r>
          </w:p>
        </w:tc>
        <w:tc>
          <w:tcPr>
            <w:tcW w:w="0" w:type="auto"/>
            <w:vAlign w:val="center"/>
            <w:hideMark/>
          </w:tcPr>
          <w:p w14:paraId="42996948" w14:textId="77777777" w:rsidR="00470714" w:rsidRPr="00470714" w:rsidRDefault="00470714" w:rsidP="00470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714">
              <w:rPr>
                <w:rFonts w:ascii="Times New Roman" w:hAnsi="Times New Roman" w:cs="Times New Roman"/>
                <w:sz w:val="28"/>
                <w:szCs w:val="28"/>
              </w:rPr>
              <w:t>Выделить устойчивые паттерны задолженности</w:t>
            </w:r>
          </w:p>
        </w:tc>
        <w:tc>
          <w:tcPr>
            <w:tcW w:w="0" w:type="auto"/>
            <w:vAlign w:val="center"/>
            <w:hideMark/>
          </w:tcPr>
          <w:p w14:paraId="1268B943" w14:textId="77777777" w:rsidR="00470714" w:rsidRPr="00470714" w:rsidRDefault="00470714" w:rsidP="00470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714">
              <w:rPr>
                <w:rFonts w:ascii="Times New Roman" w:hAnsi="Times New Roman" w:cs="Times New Roman"/>
                <w:sz w:val="28"/>
                <w:szCs w:val="28"/>
              </w:rPr>
              <w:t>Не менее трёх интерпретируемых сегментов, различие доли дефолтов между крайними сегментами не менее чем в 2 раза</w:t>
            </w:r>
          </w:p>
        </w:tc>
      </w:tr>
      <w:tr w:rsidR="00470714" w:rsidRPr="00470714" w14:paraId="54686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CC30D" w14:textId="77777777" w:rsidR="00470714" w:rsidRPr="00470714" w:rsidRDefault="00470714" w:rsidP="00470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714">
              <w:rPr>
                <w:rFonts w:ascii="Times New Roman" w:hAnsi="Times New Roman" w:cs="Times New Roman"/>
                <w:sz w:val="28"/>
                <w:szCs w:val="28"/>
              </w:rPr>
              <w:t>Б4</w:t>
            </w:r>
          </w:p>
        </w:tc>
        <w:tc>
          <w:tcPr>
            <w:tcW w:w="0" w:type="auto"/>
            <w:vAlign w:val="center"/>
            <w:hideMark/>
          </w:tcPr>
          <w:p w14:paraId="78D395FF" w14:textId="77777777" w:rsidR="00470714" w:rsidRPr="00470714" w:rsidRDefault="00470714" w:rsidP="00470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714">
              <w:rPr>
                <w:rFonts w:ascii="Times New Roman" w:hAnsi="Times New Roman" w:cs="Times New Roman"/>
                <w:sz w:val="28"/>
                <w:szCs w:val="28"/>
              </w:rPr>
              <w:t>Оценить влияние внешней среды</w:t>
            </w:r>
          </w:p>
        </w:tc>
        <w:tc>
          <w:tcPr>
            <w:tcW w:w="0" w:type="auto"/>
            <w:vAlign w:val="center"/>
            <w:hideMark/>
          </w:tcPr>
          <w:p w14:paraId="682E5464" w14:textId="77777777" w:rsidR="00470714" w:rsidRPr="00470714" w:rsidRDefault="00470714" w:rsidP="00470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714">
              <w:rPr>
                <w:rFonts w:ascii="Times New Roman" w:hAnsi="Times New Roman" w:cs="Times New Roman"/>
                <w:sz w:val="28"/>
                <w:szCs w:val="28"/>
              </w:rPr>
              <w:t>Статистически значимая (p &lt; 0,05) связь региональных и макроэкономических показателей с долей дефолтов</w:t>
            </w:r>
          </w:p>
        </w:tc>
      </w:tr>
      <w:tr w:rsidR="00470714" w:rsidRPr="00470714" w14:paraId="2827F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61895" w14:textId="77777777" w:rsidR="00470714" w:rsidRPr="00470714" w:rsidRDefault="00470714" w:rsidP="00470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714">
              <w:rPr>
                <w:rFonts w:ascii="Times New Roman" w:hAnsi="Times New Roman" w:cs="Times New Roman"/>
                <w:sz w:val="28"/>
                <w:szCs w:val="28"/>
              </w:rPr>
              <w:t>Б5</w:t>
            </w:r>
          </w:p>
        </w:tc>
        <w:tc>
          <w:tcPr>
            <w:tcW w:w="0" w:type="auto"/>
            <w:vAlign w:val="center"/>
            <w:hideMark/>
          </w:tcPr>
          <w:p w14:paraId="6479EB5C" w14:textId="77777777" w:rsidR="00470714" w:rsidRPr="00470714" w:rsidRDefault="00470714" w:rsidP="00470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714">
              <w:rPr>
                <w:rFonts w:ascii="Times New Roman" w:hAnsi="Times New Roman" w:cs="Times New Roman"/>
                <w:sz w:val="28"/>
                <w:szCs w:val="28"/>
              </w:rPr>
              <w:t>Дать менеджеру инструмент самостоятельного анализа</w:t>
            </w:r>
          </w:p>
        </w:tc>
        <w:tc>
          <w:tcPr>
            <w:tcW w:w="0" w:type="auto"/>
            <w:vAlign w:val="center"/>
            <w:hideMark/>
          </w:tcPr>
          <w:p w14:paraId="34472375" w14:textId="77777777" w:rsidR="00470714" w:rsidRPr="00470714" w:rsidRDefault="00470714" w:rsidP="00470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714">
              <w:rPr>
                <w:rFonts w:ascii="Times New Roman" w:hAnsi="Times New Roman" w:cs="Times New Roman"/>
                <w:sz w:val="28"/>
                <w:szCs w:val="28"/>
              </w:rPr>
              <w:t>Интерактивный дашборд не менее чем в пяти разрезах</w:t>
            </w:r>
          </w:p>
        </w:tc>
      </w:tr>
    </w:tbl>
    <w:p w14:paraId="2117080C" w14:textId="77777777" w:rsidR="00470714" w:rsidRPr="00470714" w:rsidRDefault="00470714" w:rsidP="0047071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70714">
        <w:rPr>
          <w:rFonts w:ascii="Times New Roman" w:hAnsi="Times New Roman" w:cs="Times New Roman"/>
          <w:b/>
          <w:bCs/>
          <w:sz w:val="36"/>
          <w:szCs w:val="36"/>
        </w:rPr>
        <w:t>Научная постановка</w:t>
      </w:r>
    </w:p>
    <w:p w14:paraId="0B9C68BD" w14:textId="77777777" w:rsidR="00470714" w:rsidRPr="00470714" w:rsidRDefault="00470714" w:rsidP="00470714">
      <w:pPr>
        <w:rPr>
          <w:rFonts w:ascii="Times New Roman" w:hAnsi="Times New Roman" w:cs="Times New Roman"/>
          <w:sz w:val="28"/>
          <w:szCs w:val="28"/>
        </w:rPr>
      </w:pPr>
      <w:r w:rsidRPr="00470714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470714">
        <w:rPr>
          <w:rFonts w:ascii="Times New Roman" w:hAnsi="Times New Roman" w:cs="Times New Roman"/>
          <w:sz w:val="28"/>
          <w:szCs w:val="28"/>
        </w:rPr>
        <w:t xml:space="preserve"> — процесс обслуживания и погашения потребительских необеспеченных кредитов физических лиц.</w:t>
      </w:r>
    </w:p>
    <w:p w14:paraId="0A6ACCDE" w14:textId="77777777" w:rsidR="00470714" w:rsidRPr="00470714" w:rsidRDefault="00470714" w:rsidP="00470714">
      <w:pPr>
        <w:rPr>
          <w:rFonts w:ascii="Times New Roman" w:hAnsi="Times New Roman" w:cs="Times New Roman"/>
          <w:sz w:val="28"/>
          <w:szCs w:val="28"/>
        </w:rPr>
      </w:pPr>
      <w:r w:rsidRPr="00470714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470714">
        <w:rPr>
          <w:rFonts w:ascii="Times New Roman" w:hAnsi="Times New Roman" w:cs="Times New Roman"/>
          <w:sz w:val="28"/>
          <w:szCs w:val="28"/>
        </w:rPr>
        <w:t xml:space="preserve"> — взаимосвязь между характеристиками заёмщика и кредита, внешними экономическими условиями, уровнем долгового стресса в регионе и вероятностью дефолта.</w:t>
      </w:r>
    </w:p>
    <w:p w14:paraId="3E420896" w14:textId="77777777" w:rsidR="00470714" w:rsidRPr="00470714" w:rsidRDefault="00470714" w:rsidP="00470714">
      <w:pPr>
        <w:rPr>
          <w:rFonts w:ascii="Times New Roman" w:hAnsi="Times New Roman" w:cs="Times New Roman"/>
          <w:sz w:val="28"/>
          <w:szCs w:val="28"/>
        </w:rPr>
      </w:pPr>
      <w:r w:rsidRPr="00470714">
        <w:rPr>
          <w:rFonts w:ascii="Times New Roman" w:hAnsi="Times New Roman" w:cs="Times New Roman"/>
          <w:b/>
          <w:bCs/>
          <w:sz w:val="28"/>
          <w:szCs w:val="28"/>
        </w:rPr>
        <w:t>Границы исследования:</w:t>
      </w:r>
    </w:p>
    <w:p w14:paraId="06503538" w14:textId="77777777" w:rsidR="00470714" w:rsidRPr="00470714" w:rsidRDefault="00470714" w:rsidP="0047071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70714">
        <w:rPr>
          <w:rFonts w:ascii="Times New Roman" w:hAnsi="Times New Roman" w:cs="Times New Roman"/>
          <w:sz w:val="28"/>
          <w:szCs w:val="28"/>
        </w:rPr>
        <w:t>географические: США, уровень штатов;</w:t>
      </w:r>
    </w:p>
    <w:p w14:paraId="4E1646D6" w14:textId="77777777" w:rsidR="00470714" w:rsidRPr="00470714" w:rsidRDefault="00470714" w:rsidP="0047071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70714">
        <w:rPr>
          <w:rFonts w:ascii="Times New Roman" w:hAnsi="Times New Roman" w:cs="Times New Roman"/>
          <w:sz w:val="28"/>
          <w:szCs w:val="28"/>
        </w:rPr>
        <w:t>временные: кредиты, выданные в 2007–2018 гг.; для совместного анализа с текстами жалоб CFPB используется период март 2015 – декабрь 2018 гг., так как тексты жалоб публикуются с 2015 года;</w:t>
      </w:r>
    </w:p>
    <w:p w14:paraId="47A86100" w14:textId="77777777" w:rsidR="00470714" w:rsidRPr="00470714" w:rsidRDefault="00470714" w:rsidP="0047071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70714">
        <w:rPr>
          <w:rFonts w:ascii="Times New Roman" w:hAnsi="Times New Roman" w:cs="Times New Roman"/>
          <w:sz w:val="28"/>
          <w:szCs w:val="28"/>
        </w:rPr>
        <w:t xml:space="preserve">продуктовые: потребительские кредиты платформы </w:t>
      </w:r>
      <w:proofErr w:type="spellStart"/>
      <w:r w:rsidRPr="00470714">
        <w:rPr>
          <w:rFonts w:ascii="Times New Roman" w:hAnsi="Times New Roman" w:cs="Times New Roman"/>
          <w:sz w:val="28"/>
          <w:szCs w:val="28"/>
        </w:rPr>
        <w:t>Lending</w:t>
      </w:r>
      <w:proofErr w:type="spellEnd"/>
      <w:r w:rsidRPr="00470714">
        <w:rPr>
          <w:rFonts w:ascii="Times New Roman" w:hAnsi="Times New Roman" w:cs="Times New Roman"/>
          <w:sz w:val="28"/>
          <w:szCs w:val="28"/>
        </w:rPr>
        <w:t xml:space="preserve"> Club на 36 и 60 месяцев;</w:t>
      </w:r>
    </w:p>
    <w:p w14:paraId="219E0E00" w14:textId="77777777" w:rsidR="00470714" w:rsidRPr="00470714" w:rsidRDefault="00470714" w:rsidP="0047071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70714">
        <w:rPr>
          <w:rFonts w:ascii="Times New Roman" w:hAnsi="Times New Roman" w:cs="Times New Roman"/>
          <w:sz w:val="28"/>
          <w:szCs w:val="28"/>
        </w:rPr>
        <w:lastRenderedPageBreak/>
        <w:t xml:space="preserve">целевая переменная: бинарный признак </w:t>
      </w:r>
      <w:proofErr w:type="spellStart"/>
      <w:r w:rsidRPr="00470714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470714">
        <w:rPr>
          <w:rFonts w:ascii="Times New Roman" w:hAnsi="Times New Roman" w:cs="Times New Roman"/>
          <w:sz w:val="28"/>
          <w:szCs w:val="28"/>
        </w:rPr>
        <w:t xml:space="preserve"> (1 — статусы </w:t>
      </w:r>
      <w:proofErr w:type="spellStart"/>
      <w:r w:rsidRPr="00470714">
        <w:rPr>
          <w:rFonts w:ascii="Times New Roman" w:hAnsi="Times New Roman" w:cs="Times New Roman"/>
          <w:i/>
          <w:iCs/>
          <w:sz w:val="28"/>
          <w:szCs w:val="28"/>
        </w:rPr>
        <w:t>Charged</w:t>
      </w:r>
      <w:proofErr w:type="spellEnd"/>
      <w:r w:rsidRPr="0047071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70714">
        <w:rPr>
          <w:rFonts w:ascii="Times New Roman" w:hAnsi="Times New Roman" w:cs="Times New Roman"/>
          <w:i/>
          <w:iCs/>
          <w:sz w:val="28"/>
          <w:szCs w:val="28"/>
        </w:rPr>
        <w:t>Off</w:t>
      </w:r>
      <w:proofErr w:type="spellEnd"/>
      <w:r w:rsidRPr="0047071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70714">
        <w:rPr>
          <w:rFonts w:ascii="Times New Roman" w:hAnsi="Times New Roman" w:cs="Times New Roman"/>
          <w:i/>
          <w:iCs/>
          <w:sz w:val="28"/>
          <w:szCs w:val="28"/>
        </w:rPr>
        <w:t>Default</w:t>
      </w:r>
      <w:proofErr w:type="spellEnd"/>
      <w:r w:rsidRPr="00470714">
        <w:rPr>
          <w:rFonts w:ascii="Times New Roman" w:hAnsi="Times New Roman" w:cs="Times New Roman"/>
          <w:sz w:val="28"/>
          <w:szCs w:val="28"/>
        </w:rPr>
        <w:t xml:space="preserve">, 0 — </w:t>
      </w:r>
      <w:proofErr w:type="spellStart"/>
      <w:r w:rsidRPr="00470714">
        <w:rPr>
          <w:rFonts w:ascii="Times New Roman" w:hAnsi="Times New Roman" w:cs="Times New Roman"/>
          <w:i/>
          <w:iCs/>
          <w:sz w:val="28"/>
          <w:szCs w:val="28"/>
        </w:rPr>
        <w:t>Fully</w:t>
      </w:r>
      <w:proofErr w:type="spellEnd"/>
      <w:r w:rsidRPr="0047071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70714">
        <w:rPr>
          <w:rFonts w:ascii="Times New Roman" w:hAnsi="Times New Roman" w:cs="Times New Roman"/>
          <w:i/>
          <w:iCs/>
          <w:sz w:val="28"/>
          <w:szCs w:val="28"/>
        </w:rPr>
        <w:t>Paid</w:t>
      </w:r>
      <w:proofErr w:type="spellEnd"/>
      <w:r w:rsidRPr="00470714">
        <w:rPr>
          <w:rFonts w:ascii="Times New Roman" w:hAnsi="Times New Roman" w:cs="Times New Roman"/>
          <w:sz w:val="28"/>
          <w:szCs w:val="28"/>
        </w:rPr>
        <w:t xml:space="preserve">); кредиты со статусами </w:t>
      </w:r>
      <w:r w:rsidRPr="00470714">
        <w:rPr>
          <w:rFonts w:ascii="Times New Roman" w:hAnsi="Times New Roman" w:cs="Times New Roman"/>
          <w:i/>
          <w:iCs/>
          <w:sz w:val="28"/>
          <w:szCs w:val="28"/>
        </w:rPr>
        <w:t>Current</w:t>
      </w:r>
      <w:r w:rsidRPr="0047071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70714">
        <w:rPr>
          <w:rFonts w:ascii="Times New Roman" w:hAnsi="Times New Roman" w:cs="Times New Roman"/>
          <w:i/>
          <w:iCs/>
          <w:sz w:val="28"/>
          <w:szCs w:val="28"/>
        </w:rPr>
        <w:t>Late</w:t>
      </w:r>
      <w:proofErr w:type="spellEnd"/>
      <w:r w:rsidRPr="00470714">
        <w:rPr>
          <w:rFonts w:ascii="Times New Roman" w:hAnsi="Times New Roman" w:cs="Times New Roman"/>
          <w:sz w:val="28"/>
          <w:szCs w:val="28"/>
        </w:rPr>
        <w:t xml:space="preserve"> исключены, поскольку их исход ещё не известен (цензурирование данных);</w:t>
      </w:r>
    </w:p>
    <w:p w14:paraId="478BD70A" w14:textId="77777777" w:rsidR="00470714" w:rsidRPr="00470714" w:rsidRDefault="00470714" w:rsidP="0047071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70714">
        <w:rPr>
          <w:rFonts w:ascii="Times New Roman" w:hAnsi="Times New Roman" w:cs="Times New Roman"/>
          <w:sz w:val="28"/>
          <w:szCs w:val="28"/>
        </w:rPr>
        <w:t>за границами исследования: ипотечное и корпоративное кредитование, а также доказательство причинно-следственных связей. Работа выявляет статистические ассоциации.</w:t>
      </w:r>
    </w:p>
    <w:p w14:paraId="5AC56795" w14:textId="77777777" w:rsidR="00470714" w:rsidRPr="00470714" w:rsidRDefault="00470714" w:rsidP="0047071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70714">
        <w:rPr>
          <w:rFonts w:ascii="Times New Roman" w:hAnsi="Times New Roman" w:cs="Times New Roman"/>
          <w:b/>
          <w:bCs/>
          <w:sz w:val="36"/>
          <w:szCs w:val="36"/>
        </w:rPr>
        <w:t>Аналитическая гипотеза</w:t>
      </w:r>
    </w:p>
    <w:p w14:paraId="6223ADDF" w14:textId="77777777" w:rsidR="00470714" w:rsidRPr="00470714" w:rsidRDefault="00470714" w:rsidP="00470714">
      <w:pPr>
        <w:rPr>
          <w:rFonts w:ascii="Times New Roman" w:hAnsi="Times New Roman" w:cs="Times New Roman"/>
          <w:sz w:val="28"/>
          <w:szCs w:val="28"/>
        </w:rPr>
      </w:pPr>
      <w:r w:rsidRPr="00470714">
        <w:rPr>
          <w:rFonts w:ascii="Times New Roman" w:hAnsi="Times New Roman" w:cs="Times New Roman"/>
          <w:b/>
          <w:bCs/>
          <w:sz w:val="28"/>
          <w:szCs w:val="28"/>
        </w:rPr>
        <w:t>H1.</w:t>
      </w:r>
      <w:r w:rsidRPr="00470714">
        <w:rPr>
          <w:rFonts w:ascii="Times New Roman" w:hAnsi="Times New Roman" w:cs="Times New Roman"/>
          <w:sz w:val="28"/>
          <w:szCs w:val="28"/>
        </w:rPr>
        <w:t xml:space="preserve"> Вероятность дефолта определяется не только индивидуальными характеристиками заёмщика (долговая нагрузка, доход, кредитная история), но и внешними условиями: региональной безработицей, уровнем ключевой ставки и интенсивностью жалоб на взыскание долгов в штате. Модель, учитывающая внешние факторы, значимо точнее модели, использующей только данные заёмщика.</w:t>
      </w:r>
    </w:p>
    <w:p w14:paraId="0DD22FB0" w14:textId="77777777" w:rsidR="00470714" w:rsidRPr="00470714" w:rsidRDefault="00470714" w:rsidP="00470714">
      <w:pPr>
        <w:rPr>
          <w:rFonts w:ascii="Times New Roman" w:hAnsi="Times New Roman" w:cs="Times New Roman"/>
          <w:sz w:val="28"/>
          <w:szCs w:val="28"/>
        </w:rPr>
      </w:pPr>
      <w:r w:rsidRPr="00470714">
        <w:rPr>
          <w:rFonts w:ascii="Times New Roman" w:hAnsi="Times New Roman" w:cs="Times New Roman"/>
          <w:b/>
          <w:bCs/>
          <w:sz w:val="28"/>
          <w:szCs w:val="28"/>
        </w:rPr>
        <w:t>H0.</w:t>
      </w:r>
      <w:r w:rsidRPr="00470714">
        <w:rPr>
          <w:rFonts w:ascii="Times New Roman" w:hAnsi="Times New Roman" w:cs="Times New Roman"/>
          <w:sz w:val="28"/>
          <w:szCs w:val="28"/>
        </w:rPr>
        <w:t xml:space="preserve"> Добавление внешних факторов не улучшает качество прогноза (ΔAUC ≤ 0, различия статистически незначимы).</w:t>
      </w:r>
    </w:p>
    <w:p w14:paraId="537C2716" w14:textId="77777777" w:rsidR="00470714" w:rsidRPr="00470714" w:rsidRDefault="00470714" w:rsidP="00470714">
      <w:pPr>
        <w:rPr>
          <w:rFonts w:ascii="Times New Roman" w:hAnsi="Times New Roman" w:cs="Times New Roman"/>
          <w:sz w:val="28"/>
          <w:szCs w:val="28"/>
        </w:rPr>
      </w:pPr>
      <w:r w:rsidRPr="00470714">
        <w:rPr>
          <w:rFonts w:ascii="Times New Roman" w:hAnsi="Times New Roman" w:cs="Times New Roman"/>
          <w:b/>
          <w:bCs/>
          <w:sz w:val="28"/>
          <w:szCs w:val="28"/>
        </w:rPr>
        <w:t>Частные гипотезы</w:t>
      </w:r>
      <w:r w:rsidRPr="00470714">
        <w:rPr>
          <w:rFonts w:ascii="Times New Roman" w:hAnsi="Times New Roman" w:cs="Times New Roman"/>
          <w:sz w:val="28"/>
          <w:szCs w:val="28"/>
        </w:rPr>
        <w:t xml:space="preserve"> (проверяются в разрезах дашборда):</w:t>
      </w:r>
    </w:p>
    <w:p w14:paraId="5CF46104" w14:textId="77777777" w:rsidR="00470714" w:rsidRPr="00470714" w:rsidRDefault="00470714" w:rsidP="0047071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70714">
        <w:rPr>
          <w:rFonts w:ascii="Times New Roman" w:hAnsi="Times New Roman" w:cs="Times New Roman"/>
          <w:sz w:val="28"/>
          <w:szCs w:val="28"/>
        </w:rPr>
        <w:t>Доля дефолтов растёт с ростом долговой нагрузки (DTI) и использования револьверного кредита.</w:t>
      </w:r>
    </w:p>
    <w:p w14:paraId="263AB11E" w14:textId="77777777" w:rsidR="00470714" w:rsidRPr="00470714" w:rsidRDefault="00470714" w:rsidP="0047071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70714">
        <w:rPr>
          <w:rFonts w:ascii="Times New Roman" w:hAnsi="Times New Roman" w:cs="Times New Roman"/>
          <w:sz w:val="28"/>
          <w:szCs w:val="28"/>
        </w:rPr>
        <w:t>Доля дефолтов монотонно растёт от грейда A к G, при этом грейд не полностью объясняет риск.</w:t>
      </w:r>
    </w:p>
    <w:p w14:paraId="34A99D7F" w14:textId="77777777" w:rsidR="00470714" w:rsidRPr="00470714" w:rsidRDefault="00470714" w:rsidP="0047071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70714">
        <w:rPr>
          <w:rFonts w:ascii="Times New Roman" w:hAnsi="Times New Roman" w:cs="Times New Roman"/>
          <w:sz w:val="28"/>
          <w:szCs w:val="28"/>
        </w:rPr>
        <w:t>Когорты кредитов, выданных перед периодами экономического напряжения, имеют повышенную долю дефолтов.</w:t>
      </w:r>
    </w:p>
    <w:p w14:paraId="6A0BE38E" w14:textId="77777777" w:rsidR="00470714" w:rsidRPr="00470714" w:rsidRDefault="00470714" w:rsidP="0047071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70714">
        <w:rPr>
          <w:rFonts w:ascii="Times New Roman" w:hAnsi="Times New Roman" w:cs="Times New Roman"/>
          <w:sz w:val="28"/>
          <w:szCs w:val="28"/>
        </w:rPr>
        <w:t>Штаты с более высокой безработицей имеют более высокую долю дефолтов.</w:t>
      </w:r>
    </w:p>
    <w:p w14:paraId="6525B74B" w14:textId="77777777" w:rsidR="00470714" w:rsidRPr="00470714" w:rsidRDefault="00470714" w:rsidP="0047071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70714">
        <w:rPr>
          <w:rFonts w:ascii="Times New Roman" w:hAnsi="Times New Roman" w:cs="Times New Roman"/>
          <w:sz w:val="28"/>
          <w:szCs w:val="28"/>
        </w:rPr>
        <w:t>Штаты с высокой интенсивностью жалоб на взыскание долгов имеют повышенную долю дефолтов.</w:t>
      </w:r>
    </w:p>
    <w:p w14:paraId="72F5A9FC" w14:textId="77777777" w:rsidR="00470714" w:rsidRPr="00470714" w:rsidRDefault="00470714" w:rsidP="0047071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70714">
        <w:rPr>
          <w:rFonts w:ascii="Times New Roman" w:hAnsi="Times New Roman" w:cs="Times New Roman"/>
          <w:sz w:val="28"/>
          <w:szCs w:val="28"/>
        </w:rPr>
        <w:t>Цель и срок кредита формируют различающиеся профили риска; 60-месячные кредиты рискованнее 36-месячных.</w:t>
      </w:r>
    </w:p>
    <w:p w14:paraId="55871E68" w14:textId="77777777" w:rsidR="00470714" w:rsidRPr="00470714" w:rsidRDefault="00470714" w:rsidP="0047071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70714">
        <w:rPr>
          <w:rFonts w:ascii="Times New Roman" w:hAnsi="Times New Roman" w:cs="Times New Roman"/>
          <w:b/>
          <w:bCs/>
          <w:sz w:val="36"/>
          <w:szCs w:val="36"/>
        </w:rPr>
        <w:t>Методы проверки</w:t>
      </w:r>
    </w:p>
    <w:p w14:paraId="3BA67158" w14:textId="55597A5D" w:rsidR="00470714" w:rsidRPr="00470714" w:rsidRDefault="00470714" w:rsidP="00470714">
      <w:pPr>
        <w:rPr>
          <w:rFonts w:ascii="Times New Roman" w:hAnsi="Times New Roman" w:cs="Times New Roman"/>
          <w:sz w:val="28"/>
          <w:szCs w:val="28"/>
        </w:rPr>
      </w:pPr>
      <w:r w:rsidRPr="00470714">
        <w:rPr>
          <w:rFonts w:ascii="Times New Roman" w:hAnsi="Times New Roman" w:cs="Times New Roman"/>
          <w:sz w:val="28"/>
          <w:szCs w:val="28"/>
        </w:rPr>
        <w:t xml:space="preserve">Для проверки гипотез используются статистические тесты (χ², Манна–Уитни, корреляция </w:t>
      </w:r>
      <w:r w:rsidRPr="00470714">
        <w:rPr>
          <w:rFonts w:ascii="Times New Roman" w:hAnsi="Times New Roman" w:cs="Times New Roman"/>
          <w:sz w:val="28"/>
          <w:szCs w:val="28"/>
        </w:rPr>
        <w:t>Спермина</w:t>
      </w:r>
      <w:r w:rsidRPr="00470714">
        <w:rPr>
          <w:rFonts w:ascii="Times New Roman" w:hAnsi="Times New Roman" w:cs="Times New Roman"/>
          <w:sz w:val="28"/>
          <w:szCs w:val="28"/>
        </w:rPr>
        <w:t>, критерий 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0714">
        <w:rPr>
          <w:rFonts w:ascii="Times New Roman" w:hAnsi="Times New Roman" w:cs="Times New Roman"/>
          <w:sz w:val="28"/>
          <w:szCs w:val="28"/>
        </w:rPr>
        <w:t xml:space="preserve">Лонга для сравнения AUC), логистическая регрессия как базовая модель, градиентный бустинг со сравнением вариантов «без внешних факторов» и «с внешними факторами», </w:t>
      </w:r>
      <w:r w:rsidRPr="00470714">
        <w:rPr>
          <w:rFonts w:ascii="Times New Roman" w:hAnsi="Times New Roman" w:cs="Times New Roman"/>
          <w:sz w:val="28"/>
          <w:szCs w:val="28"/>
        </w:rPr>
        <w:lastRenderedPageBreak/>
        <w:t>кластеризация для выделения паттернов и SHAP для интерпретации результатов.</w:t>
      </w:r>
    </w:p>
    <w:p w14:paraId="35D07D2A" w14:textId="77777777" w:rsidR="00EF5403" w:rsidRDefault="00EF5403"/>
    <w:sectPr w:rsidR="00EF54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1654E"/>
    <w:multiLevelType w:val="multilevel"/>
    <w:tmpl w:val="6902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A1B08"/>
    <w:multiLevelType w:val="multilevel"/>
    <w:tmpl w:val="68889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077E28"/>
    <w:multiLevelType w:val="multilevel"/>
    <w:tmpl w:val="0C465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646A24"/>
    <w:multiLevelType w:val="multilevel"/>
    <w:tmpl w:val="790E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427589">
    <w:abstractNumId w:val="3"/>
  </w:num>
  <w:num w:numId="2" w16cid:durableId="969749941">
    <w:abstractNumId w:val="1"/>
  </w:num>
  <w:num w:numId="3" w16cid:durableId="574514454">
    <w:abstractNumId w:val="0"/>
  </w:num>
  <w:num w:numId="4" w16cid:durableId="1810780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714"/>
    <w:rsid w:val="003F5C13"/>
    <w:rsid w:val="00470714"/>
    <w:rsid w:val="004B56C7"/>
    <w:rsid w:val="00A4785D"/>
    <w:rsid w:val="00CC613C"/>
    <w:rsid w:val="00EF5403"/>
    <w:rsid w:val="00FC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6D8B0"/>
  <w15:chartTrackingRefBased/>
  <w15:docId w15:val="{A38519C3-8B2D-4C4A-A425-F0902E21B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0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0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0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0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0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0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0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0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0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0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0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0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07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07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07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07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07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07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0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0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0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0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0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07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07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07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0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07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0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516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Диёрбек Юлдошев</dc:creator>
  <cp:keywords/>
  <dc:description/>
  <cp:lastModifiedBy>Диёрбек Юлдошев</cp:lastModifiedBy>
  <cp:revision>1</cp:revision>
  <dcterms:created xsi:type="dcterms:W3CDTF">2026-10-25T15:46:00Z</dcterms:created>
  <dcterms:modified xsi:type="dcterms:W3CDTF">2026-10-25T15:50:00Z</dcterms:modified>
</cp:coreProperties>
</file>