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C25A36"/>
          <w:sz w:val="26"/>
        </w:rPr>
        <w:t>Lumen</w:t>
      </w:r>
    </w:p>
    <w:p>
      <w:pPr>
        <w:pStyle w:val="Title"/>
        <w:spacing w:after="40"/>
      </w:pPr>
      <w:r>
        <w:t>Revisión clínica para el especialista</w:t>
      </w:r>
    </w:p>
    <w:p>
      <w:pPr>
        <w:spacing w:after="280"/>
      </w:pPr>
      <w:r>
        <w:rPr>
          <w:b w:val="0"/>
          <w:color w:val="8A6F5E"/>
          <w:sz w:val="26"/>
        </w:rPr>
        <w:t>Dieciséis decisiones médicas que necesitan su validación antes de incorporarse a la aplicación</w:t>
      </w:r>
    </w:p>
    <w:tbl>
      <w:tblPr>
        <w:tblW w:type="auto" w:w="0"/>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4816"/>
        <w:gridCol w:w="4816"/>
      </w:tblGrid>
      <w:tr>
        <w:tc>
          <w:tcPr>
            <w:tcW w:type="dxa" w:w="2041"/>
            <w:shd w:val="clear" w:color="auto" w:fill="FAF6EF"/>
            <w:tcMar>
              <w:top w:w="80" w:type="dxa"/>
              <w:bottom w:w="80" w:type="dxa"/>
              <w:start w:w="120" w:type="dxa"/>
              <w:end w:w="120" w:type="dxa"/>
            </w:tcMar>
          </w:tcPr>
          <w:p>
            <w:r/>
            <w:r>
              <w:rPr>
                <w:b/>
                <w:color w:val="8A6F5E"/>
                <w:sz w:val="20"/>
              </w:rPr>
              <w:t>Dirigido a</w:t>
            </w:r>
          </w:p>
        </w:tc>
        <w:tc>
          <w:tcPr>
            <w:tcW w:type="dxa" w:w="7313"/>
            <w:tcMar>
              <w:top w:w="80" w:type="dxa"/>
              <w:bottom w:w="80" w:type="dxa"/>
              <w:start w:w="120" w:type="dxa"/>
              <w:end w:w="120" w:type="dxa"/>
            </w:tcMar>
          </w:tcPr>
          <w:p>
            <w:r/>
            <w:r>
              <w:rPr>
                <w:b w:val="0"/>
                <w:sz w:val="20"/>
              </w:rPr>
              <w:t>Especialista en ginecología / endocrinología reproductiva (los puntos C-09 y C-11 los revisará además un bioestadístico).</w:t>
            </w:r>
          </w:p>
        </w:tc>
      </w:tr>
      <w:tr>
        <w:tc>
          <w:tcPr>
            <w:tcW w:type="dxa" w:w="2041"/>
            <w:shd w:val="clear" w:color="auto" w:fill="FAF6EF"/>
            <w:tcMar>
              <w:top w:w="80" w:type="dxa"/>
              <w:bottom w:w="80" w:type="dxa"/>
              <w:start w:w="120" w:type="dxa"/>
              <w:end w:w="120" w:type="dxa"/>
            </w:tcMar>
          </w:tcPr>
          <w:p>
            <w:r/>
            <w:r>
              <w:rPr>
                <w:b/>
                <w:color w:val="8A6F5E"/>
                <w:sz w:val="20"/>
              </w:rPr>
              <w:t>Preparado por</w:t>
            </w:r>
          </w:p>
        </w:tc>
        <w:tc>
          <w:tcPr>
            <w:tcW w:type="dxa" w:w="7313"/>
            <w:tcMar>
              <w:top w:w="80" w:type="dxa"/>
              <w:bottom w:w="80" w:type="dxa"/>
              <w:start w:w="120" w:type="dxa"/>
              <w:end w:w="120" w:type="dxa"/>
            </w:tcMar>
          </w:tcPr>
          <w:p>
            <w:r/>
            <w:r>
              <w:rPr>
                <w:b w:val="0"/>
                <w:sz w:val="20"/>
              </w:rPr>
              <w:t>Carolina, responsable del producto Lumen, y el equipo de desarrollo.</w:t>
            </w:r>
          </w:p>
        </w:tc>
      </w:tr>
      <w:tr>
        <w:tc>
          <w:tcPr>
            <w:tcW w:type="dxa" w:w="2041"/>
            <w:shd w:val="clear" w:color="auto" w:fill="FAF6EF"/>
            <w:tcMar>
              <w:top w:w="80" w:type="dxa"/>
              <w:bottom w:w="80" w:type="dxa"/>
              <w:start w:w="120" w:type="dxa"/>
              <w:end w:w="120" w:type="dxa"/>
            </w:tcMar>
          </w:tcPr>
          <w:p>
            <w:r/>
            <w:r>
              <w:rPr>
                <w:b/>
                <w:color w:val="8A6F5E"/>
                <w:sz w:val="20"/>
              </w:rPr>
              <w:t>Fecha</w:t>
            </w:r>
          </w:p>
        </w:tc>
        <w:tc>
          <w:tcPr>
            <w:tcW w:type="dxa" w:w="7313"/>
            <w:tcMar>
              <w:top w:w="80" w:type="dxa"/>
              <w:bottom w:w="80" w:type="dxa"/>
              <w:start w:w="120" w:type="dxa"/>
              <w:end w:w="120" w:type="dxa"/>
            </w:tcMar>
          </w:tcPr>
          <w:p>
            <w:r/>
            <w:r>
              <w:rPr>
                <w:b w:val="0"/>
                <w:sz w:val="20"/>
              </w:rPr>
              <w:t>21 de agosto de 2026</w:t>
            </w:r>
          </w:p>
        </w:tc>
      </w:tr>
      <w:tr>
        <w:tc>
          <w:tcPr>
            <w:tcW w:type="dxa" w:w="2041"/>
            <w:shd w:val="clear" w:color="auto" w:fill="FAF6EF"/>
            <w:tcMar>
              <w:top w:w="80" w:type="dxa"/>
              <w:bottom w:w="80" w:type="dxa"/>
              <w:start w:w="120" w:type="dxa"/>
              <w:end w:w="120" w:type="dxa"/>
            </w:tcMar>
          </w:tcPr>
          <w:p>
            <w:r/>
            <w:r>
              <w:rPr>
                <w:b/>
                <w:color w:val="8A6F5E"/>
                <w:sz w:val="20"/>
              </w:rPr>
              <w:t>Versión</w:t>
            </w:r>
          </w:p>
        </w:tc>
        <w:tc>
          <w:tcPr>
            <w:tcW w:type="dxa" w:w="7313"/>
            <w:tcMar>
              <w:top w:w="80" w:type="dxa"/>
              <w:bottom w:w="80" w:type="dxa"/>
              <w:start w:w="120" w:type="dxa"/>
              <w:end w:w="120" w:type="dxa"/>
            </w:tcMar>
          </w:tcPr>
          <w:p>
            <w:r/>
            <w:r>
              <w:rPr>
                <w:b w:val="0"/>
                <w:sz w:val="20"/>
              </w:rPr>
              <w:t>1.1 (primera ronda; el punto C-16 se añadió el 21 de agosto de 2026)</w:t>
            </w:r>
          </w:p>
        </w:tc>
      </w:tr>
      <w:tr>
        <w:tc>
          <w:tcPr>
            <w:tcW w:type="dxa" w:w="2041"/>
            <w:shd w:val="clear" w:color="auto" w:fill="FAF6EF"/>
            <w:tcMar>
              <w:top w:w="80" w:type="dxa"/>
              <w:bottom w:w="80" w:type="dxa"/>
              <w:start w:w="120" w:type="dxa"/>
              <w:end w:w="120" w:type="dxa"/>
            </w:tcMar>
          </w:tcPr>
          <w:p>
            <w:r/>
            <w:r>
              <w:rPr>
                <w:b/>
                <w:color w:val="8A6F5E"/>
                <w:sz w:val="20"/>
              </w:rPr>
              <w:t>Estado</w:t>
            </w:r>
          </w:p>
        </w:tc>
        <w:tc>
          <w:tcPr>
            <w:tcW w:type="dxa" w:w="7313"/>
            <w:tcMar>
              <w:top w:w="80" w:type="dxa"/>
              <w:bottom w:w="80" w:type="dxa"/>
              <w:start w:w="120" w:type="dxa"/>
              <w:end w:w="120" w:type="dxa"/>
            </w:tcMar>
          </w:tcPr>
          <w:p>
            <w:r/>
            <w:r>
              <w:rPr>
                <w:b w:val="0"/>
                <w:sz w:val="20"/>
              </w:rPr>
              <w:t xml:space="preserve">Las decisiones de este documento son </w:t>
            </w:r>
            <w:r>
              <w:rPr>
                <w:b/>
                <w:sz w:val="20"/>
              </w:rPr>
              <w:t>provisionales</w:t>
            </w:r>
            <w:r>
              <w:rPr>
                <w:b w:val="0"/>
                <w:sz w:val="20"/>
              </w:rPr>
              <w:t xml:space="preserve">: las fijó Carolina como punto de partida, apoyándose en guías clínicas publicadas. </w:t>
            </w:r>
            <w:r>
              <w:rPr>
                <w:b/>
                <w:sz w:val="20"/>
              </w:rPr>
              <w:t>Ninguna ha sido validada todavía por un médico.</w:t>
            </w:r>
            <w:r>
              <w:rPr>
                <w:b w:val="0"/>
                <w:sz w:val="20"/>
              </w:rPr>
              <w:t xml:space="preserve"> Solo se incorporará a la aplicación lo que usted apruebe. </w:t>
            </w:r>
            <w:r>
              <w:rPr>
                <w:b/>
                <w:sz w:val="20"/>
              </w:rPr>
              <w:t>El punto C-16 es la excepción: no lleva decisión provisional, porque Carolina prefirió no inventar una respuesta a una pregunta clínica.</w:t>
            </w:r>
          </w:p>
        </w:tc>
      </w:tr>
    </w:tbl>
    <w:p>
      <w:pPr>
        <w:spacing w:after="120"/>
      </w:pPr>
    </w:p>
    <w:p>
      <w:pPr>
        <w:pStyle w:val="Heading1"/>
      </w:pPr>
      <w:r>
        <w:t>Qué es Lumen, en pocas palabras</w:t>
      </w:r>
    </w:p>
    <w:p>
      <w:pPr>
        <w:spacing w:after="120"/>
      </w:pPr>
      <w:r>
        <w:rPr>
          <w:b w:val="0"/>
        </w:rPr>
        <w:t>Lumen es una aplicación para el celular dirigida a personas con endometriosis. Permite anotar día a día cómo se sienten (dolor, sangrado, ánimo, energía, otros síntomas), llevar el calendario del ciclo menstrual, guardar los resultados de sus análisis hormonales, registrar la medicación que toman, el peso y la actividad física, y generar un informe ordenado para llevar a la consulta.</w:t>
      </w:r>
    </w:p>
    <w:p>
      <w:pPr>
        <w:spacing w:after="120"/>
      </w:pPr>
      <w:r>
        <w:rPr>
          <w:b/>
        </w:rPr>
        <w:t>Lumen no diagnostica ni trata.</w:t>
      </w:r>
      <w:r>
        <w:rPr>
          <w:b w:val="0"/>
        </w:rPr>
        <w:t xml:space="preserve"> Ordena la información que la propia paciente anota y le muestra patrones de sus datos, siempre con la indicación de que se trata de orientación, no de consejo médico.</w:t>
      </w:r>
    </w:p>
    <w:p>
      <w:pPr>
        <w:pStyle w:val="Heading1"/>
      </w:pPr>
      <w:r>
        <w:t>Por qué necesitamos su ayuda</w:t>
      </w:r>
    </w:p>
    <w:p>
      <w:pPr>
        <w:spacing w:after="120"/>
      </w:pPr>
      <w:r>
        <w:rPr>
          <w:b w:val="0"/>
        </w:rPr>
        <w:t xml:space="preserve">Para funcionar, la aplicación necesita una serie de definiciones médicas: cuántos días dura cada fase del ciclo, qué rango de estradiol se considera habitual en cada fase, qué medicamentos ofrecer en la lista, qué síntomas merecen un aviso de «consulte con su médico», entre otras. </w:t>
      </w:r>
      <w:r>
        <w:rPr>
          <w:b/>
        </w:rPr>
        <w:t>El equipo que construye la aplicación no debe inventar esas definiciones.</w:t>
      </w:r>
    </w:p>
    <w:p>
      <w:pPr>
        <w:spacing w:after="120"/>
      </w:pPr>
      <w:r>
        <w:rPr>
          <w:b w:val="0"/>
        </w:rPr>
        <w:t>Carolina, responsable del producto, eligió valores provisionales basándose en guías y fuentes publicadas (FIGO, ACOG, ESHRE, NICE, ASRM, Mayo Clinic Laboratories, OMS). Le pedimos que los confirme, corrija o rechace con su criterio clínico. Lo que usted firme se incorporará a la aplicación con su nombre, la fecha y la fuente que indique; lo que no, se quedará fuera hasta resolverlo con usted.</w:t>
      </w:r>
    </w:p>
    <w:p>
      <w:pPr>
        <w:pStyle w:val="Heading1"/>
      </w:pPr>
      <w:r>
        <w:t>Cómo está organizado este documento y cómo responder</w:t>
      </w:r>
    </w:p>
    <w:p>
      <w:pPr>
        <w:spacing w:after="120"/>
      </w:pPr>
      <w:r>
        <w:rPr>
          <w:b w:val="0"/>
        </w:rPr>
        <w:t xml:space="preserve">Hay </w:t>
      </w:r>
      <w:r>
        <w:rPr>
          <w:b/>
        </w:rPr>
        <w:t>dieciséis puntos</w:t>
      </w:r>
      <w:r>
        <w:rPr>
          <w:b w:val="0"/>
        </w:rPr>
        <w:t>, agrupados en cuatro bloques (A. el ciclo y sus fases; B. hormonas y análisis; C. lo que la aplicación calcula y muestra; D. población, catálogos y seguridad). Cada punto tiene la misma estructura:</w:t>
      </w:r>
    </w:p>
    <w:p>
      <w:pPr>
        <w:pStyle w:val="ListNumber"/>
        <w:numPr>
          <w:ilvl w:val="0"/>
          <w:numId w:val="10"/>
        </w:numPr>
        <w:spacing w:after="60"/>
      </w:pPr>
      <w:r>
        <w:rPr>
          <w:b/>
        </w:rPr>
        <w:t>Un título</w:t>
      </w:r>
      <w:r>
        <w:rPr>
          <w:b w:val="0"/>
        </w:rPr>
        <w:t xml:space="preserve"> que resume de qué se trata.</w:t>
      </w:r>
    </w:p>
    <w:p>
      <w:pPr>
        <w:pStyle w:val="ListNumber"/>
        <w:numPr>
          <w:ilvl w:val="0"/>
          <w:numId w:val="10"/>
        </w:numPr>
        <w:spacing w:after="60"/>
      </w:pPr>
      <w:r>
        <w:rPr>
          <w:b/>
        </w:rPr>
        <w:t>¿Para qué se usa en la app?</w:t>
      </w:r>
      <w:r>
        <w:rPr>
          <w:b w:val="0"/>
        </w:rPr>
        <w:t xml:space="preserve"> — dónde y cómo interviene ese dato en la aplicación.</w:t>
      </w:r>
    </w:p>
    <w:p>
      <w:pPr>
        <w:pStyle w:val="ListNumber"/>
        <w:numPr>
          <w:ilvl w:val="0"/>
          <w:numId w:val="10"/>
        </w:numPr>
        <w:spacing w:after="60"/>
      </w:pPr>
      <w:r>
        <w:rPr>
          <w:b/>
        </w:rPr>
        <w:t>Decisión provisional de Carolina</w:t>
      </w:r>
      <w:r>
        <w:rPr>
          <w:b w:val="0"/>
        </w:rPr>
        <w:t xml:space="preserve"> — el valor o la regla que se propone incorporar, y en qué se basa.</w:t>
      </w:r>
    </w:p>
    <w:p>
      <w:pPr>
        <w:pStyle w:val="ListNumber"/>
        <w:numPr>
          <w:ilvl w:val="0"/>
          <w:numId w:val="10"/>
        </w:numPr>
        <w:spacing w:after="60"/>
      </w:pPr>
      <w:r>
        <w:rPr>
          <w:b/>
        </w:rPr>
        <w:t>Pregunta para usted</w:t>
      </w:r>
      <w:r>
        <w:rPr>
          <w:b w:val="0"/>
        </w:rPr>
        <w:t xml:space="preserve"> — lo que necesitamos que responda.</w:t>
      </w:r>
    </w:p>
    <w:p>
      <w:pPr>
        <w:pStyle w:val="ListNumber"/>
        <w:numPr>
          <w:ilvl w:val="0"/>
          <w:numId w:val="10"/>
        </w:numPr>
        <w:spacing w:after="60"/>
      </w:pPr>
      <w:r>
        <w:rPr>
          <w:b/>
        </w:rPr>
        <w:t>Su respuesta</w:t>
      </w:r>
      <w:r>
        <w:rPr>
          <w:b w:val="0"/>
        </w:rPr>
        <w:t xml:space="preserve"> — marque «De acuerdo», «Modificar» (indicando el valor o la redacción que propone y, si puede, la fuente) o «No estoy de acuerdo»; añada comentarios y firme con fecha.</w:t>
      </w:r>
    </w:p>
    <w:p>
      <w:pPr>
        <w:spacing w:after="120"/>
      </w:pPr>
      <w:r>
        <w:rPr>
          <w:b w:val="0"/>
        </w:rPr>
        <w:t>Puede escribir a mano sobre una copia impresa o completarlo en la computadora. Al final encontrará una tabla resumen y un espacio para la firma general. Si algún punto escapa a su especialidad, indíquelo y pase al siguiente.</w:t>
      </w:r>
    </w:p>
    <w:p>
      <w:pPr>
        <w:pStyle w:val="Heading1"/>
      </w:pPr>
      <w:r>
        <w:t>Tres reglas que ya están decididas (para tenerlas en cuenta)</w:t>
      </w:r>
    </w:p>
    <w:p>
      <w:pPr>
        <w:spacing w:after="120"/>
      </w:pPr>
      <w:r>
        <w:rPr>
          <w:b w:val="0"/>
        </w:rPr>
        <w:t>Estas tres reglas son la base de todo lo demás. No le pedimos que las rediseñe, pero sí que nos avise si alguna le parece clínicamente inadecuada.</w:t>
      </w:r>
    </w:p>
    <w:p>
      <w:pPr>
        <w:pStyle w:val="ListNumber"/>
        <w:numPr>
          <w:ilvl w:val="0"/>
          <w:numId w:val="11"/>
        </w:numPr>
        <w:spacing w:after="60"/>
      </w:pPr>
      <w:r>
        <w:rPr>
          <w:b/>
        </w:rPr>
        <w:t>Ningún límite impide anotar datos.</w:t>
      </w:r>
      <w:r>
        <w:rPr>
          <w:b w:val="0"/>
        </w:rPr>
        <w:t xml:space="preserve"> Los ciclos en la endometriosis son irregulares por naturaleza y muchas pacientes están en tratamientos que suprimen la menstruación (por ejemplo, dienogest) o directamente no menstrúan. Por eso, todos los rangos y límites de este documento sirven </w:t>
      </w:r>
      <w:r>
        <w:rPr>
          <w:b/>
        </w:rPr>
        <w:t>únicamente</w:t>
      </w:r>
      <w:r>
        <w:rPr>
          <w:b w:val="0"/>
        </w:rPr>
        <w:t xml:space="preserve"> para decidir qué datos usa la aplicación en sus cálculos y con cuánta confianza muestra una predicción. La paciente siempre puede anotar cualquier valor. Si aun así considera que algún límite es inseguro, dígalo.</w:t>
      </w:r>
    </w:p>
    <w:p>
      <w:pPr>
        <w:pStyle w:val="ListNumber"/>
        <w:numPr>
          <w:ilvl w:val="0"/>
          <w:numId w:val="11"/>
        </w:numPr>
        <w:spacing w:after="60"/>
      </w:pPr>
      <w:r>
        <w:rPr>
          <w:b/>
        </w:rPr>
        <w:t>Los valores de referencia llevan fecha de vigencia.</w:t>
      </w:r>
      <w:r>
        <w:rPr>
          <w:b w:val="0"/>
        </w:rPr>
        <w:t xml:space="preserve"> Si en el futuro se corrige un rango (por ejemplo, el de una hormona), los análisis antiguos se siguen evaluando con el rango que estaba vigente en la fecha en que se hicieron. Una corrección nunca «reescribe» el historial de la paciente.</w:t>
      </w:r>
    </w:p>
    <w:p>
      <w:pPr>
        <w:pStyle w:val="ListNumber"/>
        <w:numPr>
          <w:ilvl w:val="0"/>
          <w:numId w:val="11"/>
        </w:numPr>
        <w:spacing w:after="60"/>
      </w:pPr>
      <w:r>
        <w:rPr>
          <w:b/>
        </w:rPr>
        <w:t>No hay inteligencia artificial que decida por su cuenta.</w:t>
      </w:r>
      <w:r>
        <w:rPr>
          <w:b w:val="0"/>
        </w:rPr>
        <w:t xml:space="preserve"> La aplicación aplica reglas fijas y transparentes —las de este documento— y todo lo que muestra es orientativo.</w:t>
      </w:r>
    </w:p>
    <w:tbl>
      <w:tblPr>
        <w:tblW w:type="auto" w:w="0"/>
        <w:jc w:val="center"/>
        <w:tblLayout w:type="fixed"/>
        <w:tblLook w:firstColumn="1" w:firstRow="1" w:lastColumn="0" w:lastRow="0" w:noHBand="0" w:noVBand="1" w:val="04A0"/>
        <w:tblBorders>
          <w:top w:val="single" w:sz="4" w:space="0" w:color="F3D9CC"/>
          <w:left w:val="single" w:sz="4" w:space="0" w:color="F3D9CC"/>
          <w:bottom w:val="single" w:sz="4" w:space="0" w:color="F3D9CC"/>
          <w:right w:val="single" w:sz="4" w:space="0" w:color="F3D9CC"/>
          <w:insideH w:val="single" w:sz="4" w:space="0" w:color="F3D9CC"/>
          <w:insideV w:val="single" w:sz="4" w:space="0" w:color="F3D9CC"/>
        </w:tblBorders>
      </w:tblPr>
      <w:tblGrid>
        <w:gridCol w:w="9632"/>
      </w:tblGrid>
      <w:tr>
        <w:trPr>
          <w:cantSplit w:val="true"/>
        </w:trPr>
        <w:tc>
          <w:tcPr>
            <w:tcW w:type="dxa" w:w="9354"/>
            <w:shd w:val="clear" w:color="auto" w:fill="F3D9CC"/>
            <w:tcMar>
              <w:top w:w="120" w:type="dxa"/>
              <w:bottom w:w="120" w:type="dxa"/>
              <w:start w:w="180" w:type="dxa"/>
              <w:end w:w="180" w:type="dxa"/>
            </w:tcMar>
          </w:tcPr>
          <w:p>
            <w:pPr>
              <w:spacing w:after="60"/>
            </w:pPr>
            <w:r/>
            <w:r>
              <w:rPr>
                <w:b/>
                <w:color w:val="C25A36"/>
                <w:sz w:val="18"/>
              </w:rPr>
              <w:t>DÓNDE LE PEDIMOS ESPECIAL ATENCIÓN</w:t>
            </w:r>
          </w:p>
          <w:p>
            <w:pPr>
              <w:spacing w:after="60"/>
            </w:pPr>
            <w:r>
              <w:rPr>
                <w:b/>
                <w:sz w:val="21"/>
              </w:rPr>
              <w:t>Seguridad de la paciente:</w:t>
            </w:r>
            <w:r>
              <w:rPr>
                <w:b w:val="0"/>
                <w:sz w:val="21"/>
              </w:rPr>
              <w:t xml:space="preserve"> C-15 (avisos ante síntomas de alarma), C-06 (rangos hormonales), C-13 (dosis de medicamentos) y C-11 (redacción de los hallazgos sobre ánimo y ciclo).</w:t>
            </w:r>
          </w:p>
          <w:p>
            <w:pPr>
              <w:spacing w:after="60"/>
            </w:pPr>
            <w:r>
              <w:rPr>
                <w:b/>
                <w:sz w:val="21"/>
              </w:rPr>
              <w:t>Dos puntos en los que Carolina eligió algo distinto a lo que recomendaba la revisión bibliográfica</w:t>
            </w:r>
            <w:r>
              <w:rPr>
                <w:b w:val="0"/>
                <w:sz w:val="21"/>
              </w:rPr>
              <w:t xml:space="preserve"> —su opinión es especialmente valiosa ahí—: C-03 (usa el promedio, y no la mediana, para calcular la duración habitual del ciclo) y C-02 (muestra una «ventana fértil» en el calendario).</w:t>
            </w:r>
          </w:p>
          <w:p>
            <w:pPr>
              <w:spacing w:after="60"/>
            </w:pPr>
            <w:r>
              <w:rPr>
                <w:b/>
                <w:sz w:val="21"/>
              </w:rPr>
              <w:t>Dos ampliaciones propuestas por Carolina que conviene confirmar:</w:t>
            </w:r>
            <w:r>
              <w:rPr>
                <w:b w:val="0"/>
                <w:sz w:val="21"/>
              </w:rPr>
              <w:t xml:space="preserve"> los motivos para pausar el seguimiento del ciclo (C-12) y las categorías de medicamentos (C-13).</w:t>
            </w:r>
          </w:p>
        </w:tc>
      </w:tr>
    </w:tbl>
    <w:p>
      <w:pPr>
        <w:spacing w:after="40"/>
      </w:pPr>
    </w:p>
    <w:p>
      <w:pPr>
        <w:pStyle w:val="Heading1"/>
        <w:pageBreakBefore/>
      </w:pPr>
      <w:r>
        <w:t>Bloque A · El ciclo menstrual y sus fases</w:t>
      </w:r>
    </w:p>
    <w:p>
      <w:pPr>
        <w:spacing w:after="160"/>
      </w:pPr>
      <w:r>
        <w:rPr>
          <w:b w:val="0"/>
          <w:color w:val="8A6F5E"/>
          <w:sz w:val="21"/>
        </w:rPr>
        <w:t>Estos cinco puntos definen cómo la aplicación dibuja el calendario del ciclo, cómo estima la ovulación y la próxima menstruación, y cómo mide la regularidad. Son la base del calendario, de la pantalla de inicio y de las predicciones.</w:t>
      </w:r>
    </w:p>
    <w:p>
      <w:pPr>
        <w:pStyle w:val="Heading2"/>
      </w:pPr>
      <w:r>
        <w:rPr>
          <w:color w:val="C25A36"/>
        </w:rPr>
        <w:t xml:space="preserve">C-01  </w:t>
      </w:r>
      <w:r>
        <w:t>Cómo se delimitan las cuatro fases del ciclo</w:t>
      </w:r>
    </w:p>
    <w:p>
      <w:pPr>
        <w:spacing w:after="40"/>
      </w:pPr>
      <w:r>
        <w:rPr>
          <w:i/>
          <w:color w:val="8A6F5E"/>
          <w:sz w:val="18"/>
        </w:rPr>
        <w:t>Calendario del ciclo  ·  Pantalla de inicio  ·  Detalle del día  ·  Gráfico hormonal</w:t>
      </w:r>
    </w:p>
    <w:p>
      <w:pPr>
        <w:keepNext/>
        <w:spacing w:before="160" w:after="40"/>
      </w:pPr>
      <w:r>
        <w:rPr>
          <w:b/>
          <w:color w:val="C25A36"/>
          <w:sz w:val="18"/>
        </w:rPr>
        <w:t>¿PARA QUÉ SE USA EN LA APP?</w:t>
      </w:r>
    </w:p>
    <w:p>
      <w:pPr>
        <w:spacing w:after="80"/>
      </w:pPr>
      <w:r>
        <w:rPr>
          <w:b w:val="0"/>
        </w:rPr>
        <w:t>El calendario del ciclo colorea cada día según la fase en que está la paciente: menstrual, folicular, ovulatoria o lútea. Ese mismo dato aparece en la pantalla de inicio («hoy estás en fase …»), en el detalle de cada día y en el informe para el médico.</w:t>
      </w:r>
    </w:p>
    <w:p>
      <w:pPr>
        <w:spacing w:after="80"/>
      </w:pPr>
      <w:r>
        <w:rPr>
          <w:b w:val="0"/>
        </w:rPr>
        <w:t>Además, la fase sirve para comparar cada análisis hormonal con el rango habitual de esa fase (punto C-06) y para agrupar los síntomas por fase en los hallazgos (punto C-11). La paciente puede corregir a mano la fase de un día si no coincide con su realidad.</w:t>
      </w:r>
    </w:p>
    <w:p>
      <w:pPr>
        <w:spacing w:after="80"/>
      </w:pPr>
      <w:r>
        <w:rPr>
          <w:b w:val="0"/>
        </w:rPr>
        <w:t xml:space="preserve">Estado actual: la aplicación ya registra las menstruaciones y tiene el calendario, pero </w:t>
      </w:r>
      <w:r>
        <w:rPr>
          <w:b/>
        </w:rPr>
        <w:t>todavía no calcula las fases</w:t>
      </w:r>
      <w:r>
        <w:rPr>
          <w:b w:val="0"/>
        </w:rPr>
        <w:t xml:space="preserve"> (mientras tanto muestra «fases no disponibles»). El cálculo se construirá con las reglas que usted valide.</w:t>
      </w:r>
    </w:p>
    <w:p>
      <w:pPr>
        <w:keepNext/>
        <w:spacing w:before="160" w:after="40"/>
      </w:pPr>
      <w:r>
        <w:rPr>
          <w:b/>
          <w:color w:val="C25A36"/>
          <w:sz w:val="18"/>
        </w:rPr>
        <w:t>DECISIÓN PROVISIONAL DE CAROLINA (RESPONSABLE DEL PRODUCTO)</w:t>
      </w:r>
    </w:p>
    <w:p>
      <w:pPr>
        <w:spacing w:after="80"/>
      </w:pPr>
      <w:r>
        <w:rPr>
          <w:b w:val="0"/>
        </w:rPr>
        <w:t xml:space="preserve">Las fases se calculan con reglas fijas a partir de dos datos que anota la paciente —el </w:t>
      </w:r>
      <w:r>
        <w:rPr>
          <w:b/>
        </w:rPr>
        <w:t>primer día</w:t>
      </w:r>
      <w:r>
        <w:rPr>
          <w:b w:val="0"/>
        </w:rPr>
        <w:t xml:space="preserve"> y el </w:t>
      </w:r>
      <w:r>
        <w:rPr>
          <w:b/>
        </w:rPr>
        <w:t>último día</w:t>
      </w:r>
      <w:r>
        <w:rPr>
          <w:b w:val="0"/>
        </w:rPr>
        <w:t xml:space="preserve"> de cada menstruación— y de un </w:t>
      </w:r>
      <w:r>
        <w:rPr>
          <w:b/>
        </w:rPr>
        <w:t>día de ovulación estimado</w:t>
      </w:r>
      <w:r>
        <w:rPr>
          <w:b w:val="0"/>
        </w:rPr>
        <w:t xml:space="preserve">. La ovulación se estima contando </w:t>
      </w:r>
      <w:r>
        <w:rPr>
          <w:b/>
        </w:rPr>
        <w:t>14 días hacia atrás</w:t>
      </w:r>
      <w:r>
        <w:rPr>
          <w:b w:val="0"/>
        </w:rPr>
        <w:t xml:space="preserve"> desde el inicio previsto de la siguiente menstruación (se toma una fase lútea de 14 días como ancla de cálculo).</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3211"/>
        <w:gridCol w:w="3211"/>
        <w:gridCol w:w="3211"/>
      </w:tblGrid>
      <w:tr>
        <w:trPr>
          <w:tblHeader w:val="true"/>
          <w:cantSplit w:val="true"/>
        </w:trPr>
        <w:tc>
          <w:tcPr>
            <w:tcW w:type="dxa" w:w="1587"/>
            <w:shd w:val="clear" w:color="auto" w:fill="F3D9CC"/>
            <w:tcMar>
              <w:top w:w="80" w:type="dxa"/>
              <w:bottom w:w="80" w:type="dxa"/>
              <w:start w:w="120" w:type="dxa"/>
              <w:end w:w="120" w:type="dxa"/>
            </w:tcMar>
          </w:tcPr>
          <w:p>
            <w:pPr>
              <w:keepNext/>
            </w:pPr>
            <w:r/>
            <w:r>
              <w:rPr>
                <w:b/>
                <w:sz w:val="18"/>
              </w:rPr>
              <w:t>Fase</w:t>
            </w:r>
          </w:p>
        </w:tc>
        <w:tc>
          <w:tcPr>
            <w:tcW w:type="dxa" w:w="3742"/>
            <w:shd w:val="clear" w:color="auto" w:fill="F3D9CC"/>
            <w:tcMar>
              <w:top w:w="80" w:type="dxa"/>
              <w:bottom w:w="80" w:type="dxa"/>
              <w:start w:w="120" w:type="dxa"/>
              <w:end w:w="120" w:type="dxa"/>
            </w:tcMar>
          </w:tcPr>
          <w:p>
            <w:pPr>
              <w:keepNext/>
            </w:pPr>
            <w:r/>
            <w:r>
              <w:rPr>
                <w:b/>
                <w:sz w:val="18"/>
              </w:rPr>
              <w:t>Empieza</w:t>
            </w:r>
          </w:p>
        </w:tc>
        <w:tc>
          <w:tcPr>
            <w:tcW w:type="dxa" w:w="4025"/>
            <w:shd w:val="clear" w:color="auto" w:fill="F3D9CC"/>
            <w:tcMar>
              <w:top w:w="80" w:type="dxa"/>
              <w:bottom w:w="80" w:type="dxa"/>
              <w:start w:w="120" w:type="dxa"/>
              <w:end w:w="120" w:type="dxa"/>
            </w:tcMar>
          </w:tcPr>
          <w:p>
            <w:pPr>
              <w:keepNext/>
            </w:pPr>
            <w:r/>
            <w:r>
              <w:rPr>
                <w:b/>
                <w:sz w:val="18"/>
              </w:rPr>
              <w:t>Termina</w:t>
            </w:r>
          </w:p>
        </w:tc>
      </w:tr>
      <w:tr>
        <w:trPr>
          <w:cantSplit w:val="true"/>
        </w:trPr>
        <w:tc>
          <w:tcPr>
            <w:tcW w:type="dxa" w:w="1587"/>
            <w:tcMar>
              <w:top w:w="80" w:type="dxa"/>
              <w:bottom w:w="80" w:type="dxa"/>
              <w:start w:w="120" w:type="dxa"/>
              <w:end w:w="120" w:type="dxa"/>
            </w:tcMar>
          </w:tcPr>
          <w:p>
            <w:pPr>
              <w:keepNext/>
            </w:pPr>
            <w:r/>
            <w:r>
              <w:rPr>
                <w:b w:val="0"/>
                <w:sz w:val="18"/>
              </w:rPr>
              <w:t>Menstrual</w:t>
            </w:r>
          </w:p>
        </w:tc>
        <w:tc>
          <w:tcPr>
            <w:tcW w:type="dxa" w:w="3742"/>
            <w:tcMar>
              <w:top w:w="80" w:type="dxa"/>
              <w:bottom w:w="80" w:type="dxa"/>
              <w:start w:w="120" w:type="dxa"/>
              <w:end w:w="120" w:type="dxa"/>
            </w:tcMar>
          </w:tcPr>
          <w:p>
            <w:pPr>
              <w:keepNext/>
            </w:pPr>
            <w:r/>
            <w:r>
              <w:rPr>
                <w:b w:val="0"/>
                <w:sz w:val="18"/>
              </w:rPr>
              <w:t>Primer día de sangrado menstrual</w:t>
            </w:r>
          </w:p>
        </w:tc>
        <w:tc>
          <w:tcPr>
            <w:tcW w:type="dxa" w:w="4025"/>
            <w:tcMar>
              <w:top w:w="80" w:type="dxa"/>
              <w:bottom w:w="80" w:type="dxa"/>
              <w:start w:w="120" w:type="dxa"/>
              <w:end w:w="120" w:type="dxa"/>
            </w:tcMar>
          </w:tcPr>
          <w:p>
            <w:pPr>
              <w:keepNext/>
            </w:pPr>
            <w:r/>
            <w:r>
              <w:rPr>
                <w:b w:val="0"/>
                <w:sz w:val="18"/>
              </w:rPr>
              <w:t>Último día de sangrado menstrual</w:t>
            </w:r>
          </w:p>
        </w:tc>
      </w:tr>
      <w:tr>
        <w:trPr>
          <w:cantSplit w:val="true"/>
        </w:trPr>
        <w:tc>
          <w:tcPr>
            <w:tcW w:type="dxa" w:w="1587"/>
            <w:tcMar>
              <w:top w:w="80" w:type="dxa"/>
              <w:bottom w:w="80" w:type="dxa"/>
              <w:start w:w="120" w:type="dxa"/>
              <w:end w:w="120" w:type="dxa"/>
            </w:tcMar>
            <w:shd w:val="clear" w:color="auto" w:fill="FAF6EF"/>
          </w:tcPr>
          <w:p>
            <w:pPr>
              <w:keepNext/>
            </w:pPr>
            <w:r/>
            <w:r>
              <w:rPr>
                <w:b w:val="0"/>
                <w:sz w:val="18"/>
              </w:rPr>
              <w:t>Folicular</w:t>
            </w:r>
          </w:p>
        </w:tc>
        <w:tc>
          <w:tcPr>
            <w:tcW w:type="dxa" w:w="3742"/>
            <w:tcMar>
              <w:top w:w="80" w:type="dxa"/>
              <w:bottom w:w="80" w:type="dxa"/>
              <w:start w:w="120" w:type="dxa"/>
              <w:end w:w="120" w:type="dxa"/>
            </w:tcMar>
            <w:shd w:val="clear" w:color="auto" w:fill="FAF6EF"/>
          </w:tcPr>
          <w:p>
            <w:pPr>
              <w:keepNext/>
            </w:pPr>
            <w:r/>
            <w:r>
              <w:rPr>
                <w:b w:val="0"/>
                <w:sz w:val="18"/>
              </w:rPr>
              <w:t>Día siguiente al fin del sangrado</w:t>
            </w:r>
          </w:p>
        </w:tc>
        <w:tc>
          <w:tcPr>
            <w:tcW w:type="dxa" w:w="4025"/>
            <w:tcMar>
              <w:top w:w="80" w:type="dxa"/>
              <w:bottom w:w="80" w:type="dxa"/>
              <w:start w:w="120" w:type="dxa"/>
              <w:end w:w="120" w:type="dxa"/>
            </w:tcMar>
            <w:shd w:val="clear" w:color="auto" w:fill="FAF6EF"/>
          </w:tcPr>
          <w:p>
            <w:pPr>
              <w:keepNext/>
            </w:pPr>
            <w:r/>
            <w:r>
              <w:rPr>
                <w:b w:val="0"/>
                <w:sz w:val="18"/>
              </w:rPr>
              <w:t>3 días antes de la ovulación estimada</w:t>
            </w:r>
          </w:p>
        </w:tc>
      </w:tr>
      <w:tr>
        <w:trPr>
          <w:cantSplit w:val="true"/>
        </w:trPr>
        <w:tc>
          <w:tcPr>
            <w:tcW w:type="dxa" w:w="1587"/>
            <w:tcMar>
              <w:top w:w="80" w:type="dxa"/>
              <w:bottom w:w="80" w:type="dxa"/>
              <w:start w:w="120" w:type="dxa"/>
              <w:end w:w="120" w:type="dxa"/>
            </w:tcMar>
          </w:tcPr>
          <w:p>
            <w:pPr>
              <w:keepNext/>
            </w:pPr>
            <w:r/>
            <w:r>
              <w:rPr>
                <w:b w:val="0"/>
                <w:sz w:val="18"/>
              </w:rPr>
              <w:t>Ovulatoria</w:t>
            </w:r>
          </w:p>
        </w:tc>
        <w:tc>
          <w:tcPr>
            <w:tcW w:type="dxa" w:w="3742"/>
            <w:tcMar>
              <w:top w:w="80" w:type="dxa"/>
              <w:bottom w:w="80" w:type="dxa"/>
              <w:start w:w="120" w:type="dxa"/>
              <w:end w:w="120" w:type="dxa"/>
            </w:tcMar>
          </w:tcPr>
          <w:p>
            <w:pPr>
              <w:keepNext/>
            </w:pPr>
            <w:r/>
            <w:r>
              <w:rPr>
                <w:b w:val="0"/>
                <w:sz w:val="18"/>
              </w:rPr>
              <w:t>2 días antes de la ovulación estimada</w:t>
            </w:r>
          </w:p>
        </w:tc>
        <w:tc>
          <w:tcPr>
            <w:tcW w:type="dxa" w:w="4025"/>
            <w:tcMar>
              <w:top w:w="80" w:type="dxa"/>
              <w:bottom w:w="80" w:type="dxa"/>
              <w:start w:w="120" w:type="dxa"/>
              <w:end w:w="120" w:type="dxa"/>
            </w:tcMar>
          </w:tcPr>
          <w:p>
            <w:pPr>
              <w:keepNext/>
            </w:pPr>
            <w:r/>
            <w:r>
              <w:rPr>
                <w:b w:val="0"/>
                <w:sz w:val="18"/>
              </w:rPr>
              <w:t>1 día después de la ovulación estimada (banda de 4 días)</w:t>
            </w:r>
          </w:p>
        </w:tc>
      </w:tr>
      <w:tr>
        <w:trPr>
          <w:cantSplit w:val="true"/>
        </w:trPr>
        <w:tc>
          <w:tcPr>
            <w:tcW w:type="dxa" w:w="1587"/>
            <w:tcMar>
              <w:top w:w="80" w:type="dxa"/>
              <w:bottom w:w="80" w:type="dxa"/>
              <w:start w:w="120" w:type="dxa"/>
              <w:end w:w="120" w:type="dxa"/>
            </w:tcMar>
            <w:shd w:val="clear" w:color="auto" w:fill="FAF6EF"/>
          </w:tcPr>
          <w:p>
            <w:r/>
            <w:r>
              <w:rPr>
                <w:b w:val="0"/>
                <w:sz w:val="18"/>
              </w:rPr>
              <w:t>Lútea</w:t>
            </w:r>
          </w:p>
        </w:tc>
        <w:tc>
          <w:tcPr>
            <w:tcW w:type="dxa" w:w="3742"/>
            <w:tcMar>
              <w:top w:w="80" w:type="dxa"/>
              <w:bottom w:w="80" w:type="dxa"/>
              <w:start w:w="120" w:type="dxa"/>
              <w:end w:w="120" w:type="dxa"/>
            </w:tcMar>
            <w:shd w:val="clear" w:color="auto" w:fill="FAF6EF"/>
          </w:tcPr>
          <w:p>
            <w:r/>
            <w:r>
              <w:rPr>
                <w:b w:val="0"/>
                <w:sz w:val="18"/>
              </w:rPr>
              <w:t>2 días después de la ovulación estimada</w:t>
            </w:r>
          </w:p>
        </w:tc>
        <w:tc>
          <w:tcPr>
            <w:tcW w:type="dxa" w:w="4025"/>
            <w:tcMar>
              <w:top w:w="80" w:type="dxa"/>
              <w:bottom w:w="80" w:type="dxa"/>
              <w:start w:w="120" w:type="dxa"/>
              <w:end w:w="120" w:type="dxa"/>
            </w:tcMar>
            <w:shd w:val="clear" w:color="auto" w:fill="FAF6EF"/>
          </w:tcPr>
          <w:p>
            <w:r/>
            <w:r>
              <w:rPr>
                <w:b w:val="0"/>
                <w:sz w:val="18"/>
              </w:rPr>
              <w:t>Día anterior a la siguiente menstruación</w:t>
            </w:r>
          </w:p>
        </w:tc>
      </w:tr>
    </w:tbl>
    <w:p>
      <w:pPr>
        <w:spacing w:after="40"/>
      </w:pPr>
    </w:p>
    <w:p>
      <w:pPr>
        <w:spacing w:after="80"/>
      </w:pPr>
      <w:r>
        <w:rPr>
          <w:b w:val="0"/>
        </w:rPr>
        <w:t xml:space="preserve">Si la ovulación </w:t>
      </w:r>
      <w:r>
        <w:rPr>
          <w:b/>
        </w:rPr>
        <w:t>no puede estimarse</w:t>
      </w:r>
      <w:r>
        <w:rPr>
          <w:b w:val="0"/>
        </w:rPr>
        <w:t xml:space="preserve"> (historial irregular, menstruación suprimida o ausente), la aplicación solo marca la fase menstrual a partir del sangrado anotado y muestra las otras tres como «desconocidas», con confianza baja.</w:t>
      </w:r>
    </w:p>
    <w:p>
      <w:pPr>
        <w:spacing w:after="80"/>
      </w:pPr>
      <w:r>
        <w:rPr>
          <w:b w:val="0"/>
        </w:rPr>
        <w:t>Ejemplo con un ciclo de 28 días: ovulación estimada el día 15; la banda lútea visible dura unos 12 días (los 14 días son el ancla de cálculo, no la duración que se muestra).</w:t>
      </w:r>
    </w:p>
    <w:p>
      <w:pPr>
        <w:spacing w:after="80"/>
      </w:pPr>
      <w:r>
        <w:rPr>
          <w:b/>
          <w:color w:val="8A6F5E"/>
          <w:sz w:val="18"/>
        </w:rPr>
        <w:t xml:space="preserve">En qué se basa: </w:t>
      </w:r>
      <w:r>
        <w:rPr>
          <w:color w:val="8A6F5E"/>
          <w:sz w:val="18"/>
        </w:rPr>
        <w:t>Reed &amp; Carr, «The Normal Menstrual Cycle» (Endotext, 2018); guías ACOG sobre métodos basados en el conocimiento de la fertilidad; Wilcox, Weinberg &amp; Baird (BMJ 2000 / NEJM 1995).</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¿Le parecen correctas estas reglas para delimitar las cuatro fases? En particular: </w:t>
            </w:r>
            <w:r>
              <w:rPr>
                <w:b/>
                <w:sz w:val="21"/>
              </w:rPr>
              <w:t>la fase lútea fija de 14 días como ancla</w:t>
            </w:r>
            <w:r>
              <w:rPr>
                <w:b w:val="0"/>
                <w:sz w:val="21"/>
              </w:rPr>
              <w:t xml:space="preserve"> y </w:t>
            </w:r>
            <w:r>
              <w:rPr>
                <w:b/>
                <w:sz w:val="21"/>
              </w:rPr>
              <w:t>la banda ovulatoria de 4 días</w:t>
            </w:r>
            <w:r>
              <w:rPr>
                <w:b w:val="0"/>
                <w:sz w:val="21"/>
              </w:rPr>
              <w:t xml:space="preserve"> (de 2 días antes a 1 día después de la ovulación estimada). Si cambiaría alguna duración o algún límite, indique cuál y por qué.</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C-02  </w:t>
      </w:r>
      <w:r>
        <w:t>Cómo se estima el día de ovulación y la «ventana fértil»</w:t>
      </w:r>
    </w:p>
    <w:p>
      <w:pPr>
        <w:spacing w:after="40"/>
      </w:pPr>
      <w:r>
        <w:rPr>
          <w:i/>
          <w:color w:val="8A6F5E"/>
          <w:sz w:val="18"/>
        </w:rPr>
        <w:t>Calendario del ciclo  ·  Detalle del día  ·  Decisión de Carolina distinta a la recomendación</w:t>
      </w:r>
    </w:p>
    <w:p>
      <w:pPr>
        <w:keepNext/>
        <w:spacing w:before="160" w:after="40"/>
      </w:pPr>
      <w:r>
        <w:rPr>
          <w:b/>
          <w:color w:val="C25A36"/>
          <w:sz w:val="18"/>
        </w:rPr>
        <w:t>¿PARA QUÉ SE USA EN LA APP?</w:t>
      </w:r>
    </w:p>
    <w:p>
      <w:pPr>
        <w:spacing w:after="80"/>
      </w:pPr>
      <w:r>
        <w:rPr>
          <w:b w:val="0"/>
        </w:rPr>
        <w:t>El día de ovulación estimado determina dónde cae la fase ovulatoria en el calendario (punto C-01) y, por tanto, cómo se reparten las demás fases.</w:t>
      </w:r>
    </w:p>
    <w:p>
      <w:pPr>
        <w:spacing w:after="80"/>
      </w:pPr>
      <w:r>
        <w:rPr>
          <w:b w:val="0"/>
        </w:rPr>
        <w:t>Además, Carolina decidió que el calendario muestre, como capa informativa sombreada, una «ventana fértil». Se vería en el calendario del ciclo y en el detalle del día, siempre acompañada de un aviso de que no sirve para evitar ni para buscar un embarazo.</w:t>
      </w:r>
    </w:p>
    <w:p>
      <w:pPr>
        <w:spacing w:after="80"/>
      </w:pPr>
      <w:r>
        <w:rPr>
          <w:b w:val="0"/>
        </w:rPr>
        <w:t>Estado actual: hoy solo existe el interruptor «Mostrar ventana fértil» en los ajustes del ciclo (apagado por defecto). La estimación de la ovulación y la ventana se construirán con las reglas que usted valide.</w:t>
      </w:r>
    </w:p>
    <w:p>
      <w:pPr>
        <w:keepNext/>
        <w:spacing w:before="160" w:after="40"/>
      </w:pPr>
      <w:r>
        <w:rPr>
          <w:b/>
          <w:color w:val="C25A36"/>
          <w:sz w:val="18"/>
        </w:rPr>
        <w:t>DECISIÓN PROVISIONAL DE CAROLINA (RESPONSABLE DEL PRODUCTO)</w:t>
      </w:r>
    </w:p>
    <w:p>
      <w:pPr>
        <w:pStyle w:val="ListBullet"/>
        <w:spacing w:after="60"/>
      </w:pPr>
      <w:r>
        <w:rPr>
          <w:b/>
        </w:rPr>
        <w:t>Método:</w:t>
      </w:r>
      <w:r>
        <w:rPr>
          <w:b w:val="0"/>
        </w:rPr>
        <w:t xml:space="preserve"> la ovulación se estima </w:t>
      </w:r>
      <w:r>
        <w:rPr>
          <w:b/>
        </w:rPr>
        <w:t>restando 14 días</w:t>
      </w:r>
      <w:r>
        <w:rPr>
          <w:b w:val="0"/>
        </w:rPr>
        <w:t xml:space="preserve"> a la fecha prevista de la próxima menstruación (y no «a la mitad del ciclo», que solo es correcto en ciclos de exactamente 28 días).</w:t>
      </w:r>
    </w:p>
    <w:p>
      <w:pPr>
        <w:pStyle w:val="ListBullet"/>
        <w:spacing w:after="60"/>
      </w:pPr>
      <w:r>
        <w:rPr>
          <w:b/>
        </w:rPr>
        <w:t>Fase ovulatoria mostrada:</w:t>
      </w:r>
      <w:r>
        <w:rPr>
          <w:b w:val="0"/>
        </w:rPr>
        <w:t xml:space="preserve"> ovulación ± 2 días.</w:t>
      </w:r>
    </w:p>
    <w:p>
      <w:pPr>
        <w:pStyle w:val="ListBullet"/>
        <w:spacing w:after="60"/>
      </w:pPr>
      <w:r>
        <w:rPr>
          <w:b/>
        </w:rPr>
        <w:t>Ventana fértil:</w:t>
      </w:r>
      <w:r>
        <w:rPr>
          <w:b w:val="0"/>
        </w:rPr>
        <w:t xml:space="preserve"> se dibuja desde </w:t>
      </w:r>
      <w:r>
        <w:rPr>
          <w:b/>
        </w:rPr>
        <w:t>5 días antes de la ovulación hasta el día de la ovulación</w:t>
      </w:r>
      <w:r>
        <w:rPr>
          <w:b w:val="0"/>
        </w:rPr>
        <w:t xml:space="preserve"> (6 días), </w:t>
      </w:r>
      <w:r>
        <w:rPr>
          <w:b/>
        </w:rPr>
        <w:t>solo a título informativo</w:t>
      </w:r>
      <w:r>
        <w:rPr>
          <w:b w:val="0"/>
        </w:rPr>
        <w:t>, con el aviso obligatorio: «No sirve para prevenir el embarazo ni para programar la concepción».</w:t>
      </w:r>
    </w:p>
    <w:p>
      <w:pPr>
        <w:pStyle w:val="ListBullet"/>
        <w:spacing w:after="60"/>
      </w:pPr>
      <w:r>
        <w:rPr>
          <w:b w:val="0"/>
        </w:rPr>
        <w:t>Si la aplicación no tiene suficiente confianza en el ciclo (punto C-03) o la paciente está en pausa o con la menstruación suprimida (punto C-12), la ventana se oculta o se ensancha; nunca impide anotar nada.</w:t>
      </w:r>
    </w:p>
    <w:tbl>
      <w:tblPr>
        <w:tblW w:type="auto" w:w="0"/>
        <w:jc w:val="center"/>
        <w:tblLayout w:type="fixed"/>
        <w:tblLook w:firstColumn="1" w:firstRow="1" w:lastColumn="0" w:lastRow="0" w:noHBand="0" w:noVBand="1" w:val="04A0"/>
        <w:tblBorders>
          <w:top w:val="single" w:sz="4" w:space="0" w:color="EEEDFE"/>
          <w:left w:val="single" w:sz="4" w:space="0" w:color="EEEDFE"/>
          <w:bottom w:val="single" w:sz="4" w:space="0" w:color="EEEDFE"/>
          <w:right w:val="single" w:sz="4" w:space="0" w:color="EEEDFE"/>
          <w:insideH w:val="single" w:sz="4" w:space="0" w:color="EEEDFE"/>
          <w:insideV w:val="single" w:sz="4" w:space="0" w:color="EEEDFE"/>
        </w:tblBorders>
      </w:tblPr>
      <w:tblGrid>
        <w:gridCol w:w="9632"/>
      </w:tblGrid>
      <w:tr>
        <w:trPr>
          <w:cantSplit w:val="true"/>
        </w:trPr>
        <w:tc>
          <w:tcPr>
            <w:tcW w:type="dxa" w:w="9354"/>
            <w:shd w:val="clear" w:color="auto" w:fill="EEEDFE"/>
            <w:tcMar>
              <w:top w:w="120" w:type="dxa"/>
              <w:bottom w:w="120" w:type="dxa"/>
              <w:start w:w="180" w:type="dxa"/>
              <w:end w:w="180" w:type="dxa"/>
            </w:tcMar>
          </w:tcPr>
          <w:p>
            <w:pPr>
              <w:spacing w:after="60"/>
            </w:pPr>
            <w:r/>
            <w:r>
              <w:rPr>
                <w:b/>
                <w:color w:val="8A6F5E"/>
                <w:sz w:val="18"/>
              </w:rPr>
              <w:t>NOTA</w:t>
            </w:r>
          </w:p>
          <w:p>
            <w:pPr>
              <w:spacing w:after="60"/>
            </w:pPr>
            <w:r>
              <w:rPr>
                <w:b w:val="0"/>
                <w:sz w:val="21"/>
              </w:rPr>
              <w:t xml:space="preserve">La revisión bibliográfica recomendaba </w:t>
            </w:r>
            <w:r>
              <w:rPr>
                <w:b/>
                <w:sz w:val="21"/>
              </w:rPr>
              <w:t>no</w:t>
            </w:r>
            <w:r>
              <w:rPr>
                <w:b w:val="0"/>
                <w:sz w:val="21"/>
              </w:rPr>
              <w:t xml:space="preserve"> mostrar la ventana fértil: Lumen es una aplicación de endometriosis, no de anticoncepción ni de fertilidad. Carolina decidió incluirla con el aviso obligatorio. Su opinión sobre este punto es especialmente importante.</w:t>
            </w:r>
          </w:p>
        </w:tc>
      </w:tr>
    </w:tbl>
    <w:p>
      <w:pPr>
        <w:spacing w:after="40"/>
      </w:pPr>
    </w:p>
    <w:p>
      <w:pPr>
        <w:spacing w:after="80"/>
      </w:pPr>
      <w:r>
        <w:rPr>
          <w:b/>
          <w:color w:val="8A6F5E"/>
          <w:sz w:val="18"/>
        </w:rPr>
        <w:t xml:space="preserve">En qué se basa: </w:t>
      </w:r>
      <w:r>
        <w:rPr>
          <w:color w:val="8A6F5E"/>
          <w:sz w:val="18"/>
        </w:rPr>
        <w:t>ACOG, «Fertility Awareness-Based Methods»; Wilcox (BMJ 2000 / NEJM 1995); ASRM, «Optimizing Natural Fertility» (2022).</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¿Es </w:t>
            </w:r>
            <w:r>
              <w:rPr>
                <w:b/>
                <w:sz w:val="21"/>
              </w:rPr>
              <w:t>aceptable mostrar una ventana fértil</w:t>
            </w:r>
            <w:r>
              <w:rPr>
                <w:b w:val="0"/>
                <w:sz w:val="21"/>
              </w:rPr>
              <w:t xml:space="preserve"> a esta población (pacientes con endometriosis, muchas con ciclos irregulares o en tratamiento hormonal), teniendo en cuenta que los métodos basados en el conocimiento de la fertilidad tienen tasas de fallo relevantes en uso típico?</w:t>
            </w:r>
          </w:p>
          <w:p>
            <w:pPr>
              <w:keepNext/>
              <w:spacing w:after="60"/>
            </w:pPr>
            <w:r>
              <w:rPr>
                <w:b w:val="0"/>
                <w:sz w:val="21"/>
              </w:rPr>
              <w:t xml:space="preserve">Y, aparte de eso, ¿le parece correcto el </w:t>
            </w:r>
            <w:r>
              <w:rPr>
                <w:b/>
                <w:sz w:val="21"/>
              </w:rPr>
              <w:t>método de estimación</w:t>
            </w:r>
            <w:r>
              <w:rPr>
                <w:b w:val="0"/>
                <w:sz w:val="21"/>
              </w:rPr>
              <w:t xml:space="preserve"> (14 días hacia atrás, banda de ± 2 días)?</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C-03  </w:t>
      </w:r>
      <w:r>
        <w:t>Cómo se calcula la duración habitual del ciclo y de la menstruación</w:t>
      </w:r>
    </w:p>
    <w:p>
      <w:pPr>
        <w:spacing w:after="40"/>
      </w:pPr>
      <w:r>
        <w:rPr>
          <w:i/>
          <w:color w:val="8A6F5E"/>
          <w:sz w:val="18"/>
        </w:rPr>
        <w:t>Calendario del ciclo  ·  Pantalla de inicio  ·  Ajustes del ciclo  ·  Decisión de Carolina distinta a la recomendación</w:t>
      </w:r>
    </w:p>
    <w:p>
      <w:pPr>
        <w:keepNext/>
        <w:spacing w:before="160" w:after="40"/>
      </w:pPr>
      <w:r>
        <w:rPr>
          <w:b/>
          <w:color w:val="C25A36"/>
          <w:sz w:val="18"/>
        </w:rPr>
        <w:t>¿PARA QUÉ SE USA EN LA APP?</w:t>
      </w:r>
    </w:p>
    <w:p>
      <w:pPr>
        <w:spacing w:after="80"/>
      </w:pPr>
      <w:r>
        <w:rPr>
          <w:b w:val="0"/>
        </w:rPr>
        <w:t>Con la duración habitual del ciclo la aplicación predice cuándo vendrá la próxima menstruación, sitúa las fases (punto C-01) y mide la regularidad (punto C-05). Se ve en el calendario, en la pantalla de inicio («próxima menstruación en unos X días») y en los ajustes del ciclo.</w:t>
      </w:r>
    </w:p>
    <w:p>
      <w:pPr>
        <w:spacing w:after="80"/>
      </w:pPr>
      <w:r>
        <w:rPr>
          <w:b w:val="0"/>
        </w:rPr>
        <w:t>Al crear la cuenta, la paciente indica cuánto le suele durar el ciclo y la menstruación. Cuando ya hay suficientes ciclos anotados, la aplicación pasa a usar su propio cálculo en lugar de ese dato inicial.</w:t>
      </w:r>
    </w:p>
    <w:p>
      <w:pPr>
        <w:spacing w:after="80"/>
      </w:pPr>
      <w:r>
        <w:rPr>
          <w:b w:val="0"/>
        </w:rPr>
        <w:t>Estado actual: la aplicación ya guarda lo que la paciente indica al crear la cuenta y muestra el aviso de «¿seguro?» ante valores extremos. El cálculo automático (promedio de 6 ciclos, límites 21–45 días) se construirá tras su validación.</w:t>
      </w:r>
    </w:p>
    <w:p>
      <w:pPr>
        <w:keepNext/>
        <w:spacing w:before="160" w:after="40"/>
      </w:pPr>
      <w:r>
        <w:rPr>
          <w:b/>
          <w:color w:val="C25A36"/>
          <w:sz w:val="18"/>
        </w:rPr>
        <w:t>DECISIÓN PROVISIONAL DE CAROLINA (RESPONSABLE DEL PRODUCTO)</w:t>
      </w:r>
    </w:p>
    <w:p>
      <w:pPr>
        <w:pStyle w:val="ListBullet"/>
        <w:spacing w:after="60"/>
      </w:pPr>
      <w:r>
        <w:rPr>
          <w:b/>
        </w:rPr>
        <w:t>Forma de calcular:</w:t>
      </w:r>
      <w:r>
        <w:rPr>
          <w:b w:val="0"/>
        </w:rPr>
        <w:t xml:space="preserve"> el </w:t>
      </w:r>
      <w:r>
        <w:rPr>
          <w:b/>
        </w:rPr>
        <w:t>promedio (media)</w:t>
      </w:r>
      <w:r>
        <w:rPr>
          <w:b w:val="0"/>
        </w:rPr>
        <w:t xml:space="preserve"> de los </w:t>
      </w:r>
      <w:r>
        <w:rPr>
          <w:b/>
        </w:rPr>
        <w:t>últimos 6 ciclos completos</w:t>
      </w:r>
      <w:r>
        <w:rPr>
          <w:b w:val="0"/>
        </w:rPr>
        <w:t>, tanto para la duración del ciclo como para la de la menstruación.</w:t>
      </w:r>
    </w:p>
    <w:p>
      <w:pPr>
        <w:pStyle w:val="ListBullet"/>
        <w:spacing w:after="60"/>
      </w:pPr>
      <w:r>
        <w:rPr>
          <w:b/>
        </w:rPr>
        <w:t>Mínimo de datos:</w:t>
      </w:r>
      <w:r>
        <w:rPr>
          <w:b w:val="0"/>
        </w:rPr>
        <w:t xml:space="preserve"> hacen falta </w:t>
      </w:r>
      <w:r>
        <w:rPr>
          <w:b/>
        </w:rPr>
        <w:t>al menos 3 ciclos completos</w:t>
      </w:r>
      <w:r>
        <w:rPr>
          <w:b w:val="0"/>
        </w:rPr>
        <w:t xml:space="preserve"> para que el cálculo reemplace al dato que dio la paciente al inicio.</w:t>
      </w:r>
    </w:p>
    <w:p>
      <w:pPr>
        <w:pStyle w:val="ListBullet"/>
        <w:spacing w:after="60"/>
      </w:pPr>
      <w:r>
        <w:rPr>
          <w:b/>
        </w:rPr>
        <w:t>Qué ciclos entran en el cálculo:</w:t>
      </w:r>
      <w:r>
        <w:rPr>
          <w:b w:val="0"/>
        </w:rPr>
        <w:t xml:space="preserve"> solo los ciclos de </w:t>
      </w:r>
      <w:r>
        <w:rPr>
          <w:b/>
        </w:rPr>
        <w:t>21 a 45 días</w:t>
      </w:r>
      <w:r>
        <w:rPr>
          <w:b w:val="0"/>
        </w:rPr>
        <w:t xml:space="preserve"> y las menstruaciones de </w:t>
      </w:r>
      <w:r>
        <w:rPr>
          <w:b/>
        </w:rPr>
        <w:t>1 a 10 días</w:t>
      </w:r>
      <w:r>
        <w:rPr>
          <w:b w:val="0"/>
        </w:rPr>
        <w:t>. Los que quedan fuera se guardan y se muestran igual, pero no se usan para calcular (y reducen la confianza de la predicción).</w:t>
      </w:r>
    </w:p>
    <w:p>
      <w:pPr>
        <w:pStyle w:val="ListBullet"/>
        <w:spacing w:after="60"/>
      </w:pPr>
      <w:r>
        <w:rPr>
          <w:b/>
        </w:rPr>
        <w:t>Aviso por posible error al escribir</w:t>
      </w:r>
      <w:r>
        <w:rPr>
          <w:b w:val="0"/>
        </w:rPr>
        <w:t xml:space="preserve"> (nunca bloquea): si la paciente escribe un ciclo fuera de 10–120 días o una menstruación fuera de 1–30 días, la aplicación pregunta «¿seguro?», pero guarda el dato.</w:t>
      </w:r>
    </w:p>
    <w:tbl>
      <w:tblPr>
        <w:tblW w:type="auto" w:w="0"/>
        <w:jc w:val="center"/>
        <w:tblLayout w:type="fixed"/>
        <w:tblLook w:firstColumn="1" w:firstRow="1" w:lastColumn="0" w:lastRow="0" w:noHBand="0" w:noVBand="1" w:val="04A0"/>
        <w:tblBorders>
          <w:top w:val="single" w:sz="4" w:space="0" w:color="EEEDFE"/>
          <w:left w:val="single" w:sz="4" w:space="0" w:color="EEEDFE"/>
          <w:bottom w:val="single" w:sz="4" w:space="0" w:color="EEEDFE"/>
          <w:right w:val="single" w:sz="4" w:space="0" w:color="EEEDFE"/>
          <w:insideH w:val="single" w:sz="4" w:space="0" w:color="EEEDFE"/>
          <w:insideV w:val="single" w:sz="4" w:space="0" w:color="EEEDFE"/>
        </w:tblBorders>
      </w:tblPr>
      <w:tblGrid>
        <w:gridCol w:w="9632"/>
      </w:tblGrid>
      <w:tr>
        <w:trPr>
          <w:cantSplit w:val="true"/>
        </w:trPr>
        <w:tc>
          <w:tcPr>
            <w:tcW w:type="dxa" w:w="9354"/>
            <w:shd w:val="clear" w:color="auto" w:fill="EEEDFE"/>
            <w:tcMar>
              <w:top w:w="120" w:type="dxa"/>
              <w:bottom w:w="120" w:type="dxa"/>
              <w:start w:w="180" w:type="dxa"/>
              <w:end w:w="180" w:type="dxa"/>
            </w:tcMar>
          </w:tcPr>
          <w:p>
            <w:pPr>
              <w:spacing w:after="60"/>
            </w:pPr>
            <w:r/>
            <w:r>
              <w:rPr>
                <w:b/>
                <w:color w:val="8A6F5E"/>
                <w:sz w:val="18"/>
              </w:rPr>
              <w:t>NOTA</w:t>
            </w:r>
          </w:p>
          <w:p>
            <w:pPr>
              <w:spacing w:after="60"/>
            </w:pPr>
            <w:r>
              <w:rPr>
                <w:b w:val="0"/>
                <w:sz w:val="21"/>
              </w:rPr>
              <w:t xml:space="preserve">La revisión bibliográfica recomendaba usar la </w:t>
            </w:r>
            <w:r>
              <w:rPr>
                <w:b/>
                <w:sz w:val="21"/>
              </w:rPr>
              <w:t>mediana</w:t>
            </w:r>
            <w:r>
              <w:rPr>
                <w:b w:val="0"/>
                <w:sz w:val="21"/>
              </w:rPr>
              <w:t xml:space="preserve">, que resiste mejor los ciclos atípicos (frecuentes en la endometriosis). Carolina eligió el </w:t>
            </w:r>
            <w:r>
              <w:rPr>
                <w:b/>
                <w:sz w:val="21"/>
              </w:rPr>
              <w:t>promedio</w:t>
            </w:r>
            <w:r>
              <w:rPr>
                <w:b w:val="0"/>
                <w:sz w:val="21"/>
              </w:rPr>
              <w:t>, con la mitigación de que solo se promedian ciclos dentro de 21–45 días, de modo que los más extremos ya quedan excluidos.</w:t>
            </w:r>
          </w:p>
        </w:tc>
      </w:tr>
    </w:tbl>
    <w:p>
      <w:pPr>
        <w:spacing w:after="40"/>
      </w:pPr>
    </w:p>
    <w:p>
      <w:pPr>
        <w:spacing w:after="80"/>
      </w:pPr>
      <w:r>
        <w:rPr>
          <w:b/>
          <w:color w:val="8A6F5E"/>
          <w:sz w:val="18"/>
        </w:rPr>
        <w:t xml:space="preserve">En qué se basa: </w:t>
      </w:r>
      <w:r>
        <w:rPr>
          <w:color w:val="8A6F5E"/>
          <w:sz w:val="18"/>
        </w:rPr>
        <w:t>FIGO 2018 (Munro et al.: frecuencia normal 24–38 días, duración ≤ 8 días), ampliado hacia ACOG (alrededor del 90 % de los ciclos dura entre 21 y 45 días); ESHRE 2022 para la irregularidad.</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Para esta población, ¿prefiere el </w:t>
            </w:r>
            <w:r>
              <w:rPr>
                <w:b/>
                <w:sz w:val="21"/>
              </w:rPr>
              <w:t>promedio</w:t>
            </w:r>
            <w:r>
              <w:rPr>
                <w:b w:val="0"/>
                <w:sz w:val="21"/>
              </w:rPr>
              <w:t xml:space="preserve"> o la </w:t>
            </w:r>
            <w:r>
              <w:rPr>
                <w:b/>
                <w:sz w:val="21"/>
              </w:rPr>
              <w:t>mediana</w:t>
            </w:r>
            <w:r>
              <w:rPr>
                <w:b w:val="0"/>
                <w:sz w:val="21"/>
              </w:rPr>
              <w:t>?</w:t>
            </w:r>
          </w:p>
          <w:p>
            <w:pPr>
              <w:keepNext/>
              <w:spacing w:after="60"/>
            </w:pPr>
            <w:r>
              <w:rPr>
                <w:b w:val="0"/>
                <w:sz w:val="21"/>
              </w:rPr>
              <w:t xml:space="preserve">¿Le parecen adecuados los </w:t>
            </w:r>
            <w:r>
              <w:rPr>
                <w:b/>
                <w:sz w:val="21"/>
              </w:rPr>
              <w:t>límites de inclusión</w:t>
            </w:r>
            <w:r>
              <w:rPr>
                <w:b w:val="0"/>
                <w:sz w:val="21"/>
              </w:rPr>
              <w:t xml:space="preserve"> (ciclo 21–45 días, menstruación 1–10 días), el mínimo de 3 ciclos y la ventana de los últimos 6 ciclos? Indique cualquier cambio.</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C-04  </w:t>
      </w:r>
      <w:r>
        <w:t>Qué cuenta como menstruación y qué como «manchado»; cómo detecta la aplicación el primer día</w:t>
      </w:r>
    </w:p>
    <w:p>
      <w:pPr>
        <w:spacing w:after="40"/>
      </w:pPr>
      <w:r>
        <w:rPr>
          <w:i/>
          <w:color w:val="8A6F5E"/>
          <w:sz w:val="18"/>
        </w:rPr>
        <w:t>Registro diario  ·  Calendario del ciclo  ·  Detalle del día</w:t>
      </w:r>
    </w:p>
    <w:p>
      <w:pPr>
        <w:keepNext/>
        <w:spacing w:before="160" w:after="40"/>
      </w:pPr>
      <w:r>
        <w:rPr>
          <w:b/>
          <w:color w:val="C25A36"/>
          <w:sz w:val="18"/>
        </w:rPr>
        <w:t>¿PARA QUÉ SE USA EN LA APP?</w:t>
      </w:r>
    </w:p>
    <w:p>
      <w:pPr>
        <w:spacing w:after="80"/>
      </w:pPr>
      <w:r>
        <w:rPr>
          <w:b w:val="0"/>
        </w:rPr>
        <w:t>Cada día la paciente puede anotar su sangrado en una escala de cuatro niveles. Con esa escala la aplicación decide automáticamente cuándo empieza una nueva menstruación (y, por tanto, un nuevo ciclo), sin que la paciente tenga que marcarlo expresamente. Se usa en el registro diario, en el calendario y en el detalle del día. La paciente siempre puede corregir a mano.</w:t>
      </w:r>
    </w:p>
    <w:p>
      <w:pPr>
        <w:spacing w:after="80"/>
      </w:pPr>
      <w:r>
        <w:rPr>
          <w:b w:val="0"/>
        </w:rPr>
        <w:t>Estado actual: la escala de cuatro niveles ya existe en la aplicación; la detección automática del primer día todavía no, y se construirá con la regla que usted valide.</w:t>
      </w:r>
    </w:p>
    <w:p>
      <w:pPr>
        <w:keepNext/>
        <w:spacing w:before="160" w:after="40"/>
      </w:pPr>
      <w:r>
        <w:rPr>
          <w:b/>
          <w:color w:val="C25A36"/>
          <w:sz w:val="18"/>
        </w:rPr>
        <w:t>DECISIÓN PROVISIONAL DE CAROLINA (RESPONSABLE DEL PRODUCTO)</w:t>
      </w:r>
    </w:p>
    <w:p>
      <w:pPr>
        <w:pStyle w:val="ListBullet"/>
        <w:spacing w:after="60"/>
      </w:pPr>
      <w:r>
        <w:rPr>
          <w:b/>
        </w:rPr>
        <w:t>Escala de sangrado:</w:t>
      </w:r>
      <w:r>
        <w:rPr>
          <w:b w:val="0"/>
        </w:rPr>
        <w:t xml:space="preserve"> 1 = manchado · 2 = ligero · 3 = moderado · 4 = abundante. </w:t>
      </w:r>
      <w:r>
        <w:rPr>
          <w:b/>
        </w:rPr>
        <w:t>Manchado</w:t>
      </w:r>
      <w:r>
        <w:rPr>
          <w:b w:val="0"/>
        </w:rPr>
        <w:t xml:space="preserve"> = sangrado que no requiere protección sanitaria (definición FIGO 2018).</w:t>
      </w:r>
    </w:p>
    <w:p>
      <w:pPr>
        <w:pStyle w:val="ListBullet"/>
        <w:spacing w:after="60"/>
      </w:pPr>
      <w:r>
        <w:rPr>
          <w:b/>
        </w:rPr>
        <w:t>Qué cuenta como menstruación:</w:t>
      </w:r>
      <w:r>
        <w:rPr>
          <w:b w:val="0"/>
        </w:rPr>
        <w:t xml:space="preserve"> un día cuenta como sangrado menstrual si el nivel es </w:t>
      </w:r>
      <w:r>
        <w:rPr>
          <w:b/>
        </w:rPr>
        <w:t>2 o más</w:t>
      </w:r>
      <w:r>
        <w:rPr>
          <w:b w:val="0"/>
        </w:rPr>
        <w:t>. El manchado (nivel 1) por sí solo no cuenta.</w:t>
      </w:r>
    </w:p>
    <w:p>
      <w:pPr>
        <w:pStyle w:val="ListBullet"/>
        <w:spacing w:after="60"/>
      </w:pPr>
      <w:r>
        <w:rPr>
          <w:b/>
        </w:rPr>
        <w:t>Primer día de una nueva menstruación:</w:t>
      </w:r>
      <w:r>
        <w:rPr>
          <w:b w:val="0"/>
        </w:rPr>
        <w:t xml:space="preserve"> el primer día con nivel ≥ 2 que llega tras </w:t>
      </w:r>
      <w:r>
        <w:rPr>
          <w:b/>
        </w:rPr>
        <w:t>al menos 3 días sin sangrado menstrual</w:t>
      </w:r>
      <w:r>
        <w:rPr>
          <w:b w:val="0"/>
        </w:rPr>
        <w:t xml:space="preserve"> (valor tolerante con la endometriosis; ajustable entre 2 y 3 días). El manchado de los días previos se considera manchado premenstrual, pero el «día 1» es el primer día con nivel ≥ 2.</w:t>
      </w:r>
    </w:p>
    <w:p>
      <w:pPr>
        <w:pStyle w:val="ListBullet"/>
        <w:spacing w:after="60"/>
      </w:pPr>
      <w:r>
        <w:rPr>
          <w:b/>
        </w:rPr>
        <w:t>Lo que nunca pasa:</w:t>
      </w:r>
      <w:r>
        <w:rPr>
          <w:b w:val="0"/>
        </w:rPr>
        <w:t xml:space="preserve"> el manchado nunca crea una menstruación por sí solo; en pacientes con la menstruación suprimida, el manchado intermenstrual no genera nada; </w:t>
      </w:r>
      <w:r>
        <w:rPr>
          <w:b/>
        </w:rPr>
        <w:t>la corrección manual de la paciente siempre manda</w:t>
      </w:r>
      <w:r>
        <w:rPr>
          <w:b w:val="0"/>
        </w:rPr>
        <w:t>.</w:t>
      </w:r>
    </w:p>
    <w:p>
      <w:pPr>
        <w:pStyle w:val="ListBullet"/>
        <w:spacing w:after="60"/>
      </w:pPr>
      <w:r>
        <w:rPr>
          <w:b w:val="0"/>
        </w:rPr>
        <w:t>El nivel 4 (abundante) se asocia a las señales de sangrado menstrual abundante —empapar la protección en 1–2 horas o coágulos de 2,5 cm o más— que se usan en los avisos de seguridad (punto C-15).</w:t>
      </w:r>
    </w:p>
    <w:p>
      <w:pPr>
        <w:spacing w:after="80"/>
      </w:pPr>
      <w:r>
        <w:rPr>
          <w:b/>
          <w:color w:val="8A6F5E"/>
          <w:sz w:val="18"/>
        </w:rPr>
        <w:t xml:space="preserve">En qué se basa: </w:t>
      </w:r>
      <w:r>
        <w:rPr>
          <w:color w:val="8A6F5E"/>
          <w:sz w:val="18"/>
        </w:rPr>
        <w:t>FIGO 2018 (Munro et al.); convenciones de registro de la aplicación Clue; gráfico PBAC de Higham (1990).</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¿Está de acuerdo con la </w:t>
            </w:r>
            <w:r>
              <w:rPr>
                <w:b/>
                <w:sz w:val="21"/>
              </w:rPr>
              <w:t>escala de cuatro niveles</w:t>
            </w:r>
            <w:r>
              <w:rPr>
                <w:b w:val="0"/>
                <w:sz w:val="21"/>
              </w:rPr>
              <w:t xml:space="preserve">, con que </w:t>
            </w:r>
            <w:r>
              <w:rPr>
                <w:b/>
                <w:sz w:val="21"/>
              </w:rPr>
              <w:t>el manchado no cuente como menstruación</w:t>
            </w:r>
            <w:r>
              <w:rPr>
                <w:b w:val="0"/>
                <w:sz w:val="21"/>
              </w:rPr>
              <w:t xml:space="preserve"> y con la regla de </w:t>
            </w:r>
            <w:r>
              <w:rPr>
                <w:b/>
                <w:sz w:val="21"/>
              </w:rPr>
              <w:t>«3 días sin sangrado» para separar dos menstruaciones</w:t>
            </w:r>
            <w:r>
              <w:rPr>
                <w:b w:val="0"/>
                <w:sz w:val="21"/>
              </w:rPr>
              <w:t>? ¿Cambiaría algo?</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C-05  </w:t>
      </w:r>
      <w:r>
        <w:t>Cómo se define si un ciclo es «regular» o «irregular», y qué efecto tiene</w:t>
      </w:r>
    </w:p>
    <w:p>
      <w:pPr>
        <w:spacing w:after="40"/>
      </w:pPr>
      <w:r>
        <w:rPr>
          <w:i/>
          <w:color w:val="8A6F5E"/>
          <w:sz w:val="18"/>
        </w:rPr>
        <w:t>Calendario del ciclo  ·  Ajustes del ciclo  ·  Confianza de las predicciones</w:t>
      </w:r>
    </w:p>
    <w:p>
      <w:pPr>
        <w:keepNext/>
        <w:spacing w:before="160" w:after="40"/>
      </w:pPr>
      <w:r>
        <w:rPr>
          <w:b/>
          <w:color w:val="C25A36"/>
          <w:sz w:val="18"/>
        </w:rPr>
        <w:t>¿PARA QUÉ SE USA EN LA APP?</w:t>
      </w:r>
    </w:p>
    <w:p>
      <w:pPr>
        <w:spacing w:after="80"/>
      </w:pPr>
      <w:r>
        <w:rPr>
          <w:b w:val="0"/>
        </w:rPr>
        <w:t xml:space="preserve">La aplicación muestra una etiqueta de regularidad (en el calendario y en los ajustes del ciclo) y, sobre todo, la usa para decidir con </w:t>
      </w:r>
      <w:r>
        <w:rPr>
          <w:b/>
        </w:rPr>
        <w:t>cuánta confianza</w:t>
      </w:r>
      <w:r>
        <w:rPr>
          <w:b w:val="0"/>
        </w:rPr>
        <w:t xml:space="preserve"> predice la próxima menstruación: cuanto más irregular es el ciclo, más amplio es el margen que se muestra («entre el 3 y el 17») y menor la confianza.</w:t>
      </w:r>
    </w:p>
    <w:p>
      <w:pPr>
        <w:spacing w:after="80"/>
      </w:pPr>
      <w:r>
        <w:rPr>
          <w:b w:val="0"/>
        </w:rPr>
        <w:t>Estado actual: hoy es la propia paciente quien indica, al crear la cuenta, si su ciclo es «regular», «algo irregular» o «irregular». El cálculo automático se construirá tras su validación.</w:t>
      </w:r>
    </w:p>
    <w:p>
      <w:pPr>
        <w:keepNext/>
        <w:spacing w:before="160" w:after="40"/>
      </w:pPr>
      <w:r>
        <w:rPr>
          <w:b/>
          <w:color w:val="C25A36"/>
          <w:sz w:val="18"/>
        </w:rPr>
        <w:t>DECISIÓN PROVISIONAL DE CAROLINA (RESPONSABLE DEL PRODUCTO)</w:t>
      </w:r>
    </w:p>
    <w:p>
      <w:pPr>
        <w:pStyle w:val="ListBullet"/>
        <w:spacing w:after="60"/>
      </w:pPr>
      <w:r>
        <w:rPr>
          <w:b/>
        </w:rPr>
        <w:t>Cómo se mide:</w:t>
      </w:r>
      <w:r>
        <w:rPr>
          <w:b w:val="0"/>
        </w:rPr>
        <w:t xml:space="preserve"> la diferencia entre el ciclo </w:t>
      </w:r>
      <w:r>
        <w:rPr>
          <w:b/>
        </w:rPr>
        <w:t>más corto</w:t>
      </w:r>
      <w:r>
        <w:rPr>
          <w:b w:val="0"/>
        </w:rPr>
        <w:t xml:space="preserve"> y el </w:t>
      </w:r>
      <w:r>
        <w:rPr>
          <w:b/>
        </w:rPr>
        <w:t>más largo</w:t>
      </w:r>
      <w:r>
        <w:rPr>
          <w:b w:val="0"/>
        </w:rPr>
        <w:t xml:space="preserve"> de los últimos 6 ciclos (mínimo 3 ciclos completos).</w:t>
      </w:r>
    </w:p>
    <w:p>
      <w:pPr>
        <w:pStyle w:val="ListBullet"/>
        <w:spacing w:after="60"/>
      </w:pPr>
      <w:r>
        <w:rPr>
          <w:b/>
        </w:rPr>
        <w:t>Tramos:</w:t>
      </w:r>
      <w:r>
        <w:rPr>
          <w:b w:val="0"/>
        </w:rPr>
        <w:t xml:space="preserve"> </w:t>
      </w:r>
      <w:r>
        <w:rPr>
          <w:b/>
        </w:rPr>
        <w:t>Regular</w:t>
      </w:r>
      <w:r>
        <w:rPr>
          <w:b w:val="0"/>
        </w:rPr>
        <w:t xml:space="preserve"> si la diferencia es ≤ 7 días (criterio FIGO) · </w:t>
      </w:r>
      <w:r>
        <w:rPr>
          <w:b/>
        </w:rPr>
        <w:t>Algo irregular</w:t>
      </w:r>
      <w:r>
        <w:rPr>
          <w:b w:val="0"/>
        </w:rPr>
        <w:t xml:space="preserve"> si es de 8 a 14 días (definido por el producto) · </w:t>
      </w:r>
      <w:r>
        <w:rPr>
          <w:b/>
        </w:rPr>
        <w:t>Irregular</w:t>
      </w:r>
      <w:r>
        <w:rPr>
          <w:b w:val="0"/>
        </w:rPr>
        <w:t xml:space="preserve"> si es ≥ 15 días (definido por el producto).</w:t>
      </w:r>
    </w:p>
    <w:p>
      <w:pPr>
        <w:pStyle w:val="ListBullet"/>
        <w:spacing w:after="60"/>
      </w:pPr>
      <w:r>
        <w:rPr>
          <w:b/>
        </w:rPr>
        <w:t>Efecto sobre la predicción:</w:t>
      </w:r>
      <w:r>
        <w:rPr>
          <w:b w:val="0"/>
        </w:rPr>
        <w:t xml:space="preserve"> Regular → confianza completa, margen de ± 2 días · Algo irregular → confianza reducida (× 0,7), margen de ± 4 días · Irregular → confianza baja (× 0,4), margen de ± 7 días · Datos insuficientes o menstruación suprimida → no se predice una fecha, solo un rango.</w:t>
      </w:r>
    </w:p>
    <w:p>
      <w:pPr>
        <w:pStyle w:val="ListBullet"/>
        <w:spacing w:after="60"/>
      </w:pPr>
      <w:r>
        <w:rPr>
          <w:b w:val="0"/>
        </w:rPr>
        <w:t>En esta primera versión se usa el umbral plano de 7 días para todas las edades (la graduación por edad de FIGO queda para más adelante). No se añade ningún mensaje «tranquilizador» a «algo irregular».</w:t>
      </w:r>
    </w:p>
    <w:p>
      <w:pPr>
        <w:spacing w:after="80"/>
      </w:pPr>
      <w:r>
        <w:rPr>
          <w:b/>
          <w:color w:val="8A6F5E"/>
          <w:sz w:val="18"/>
        </w:rPr>
        <w:t xml:space="preserve">En qué se basa: </w:t>
      </w:r>
      <w:r>
        <w:rPr>
          <w:color w:val="8A6F5E"/>
          <w:sz w:val="18"/>
        </w:rPr>
        <w:t>FIGO 2018 (regularidad = variación entre el ciclo más corto y el más largo, ≤ 7 días para 26–41 años); ACOG, Committee Opinion 651. Los cortes de 8–14 / ≥ 15 días y los factores de confianza son una decisión del producto, no de las guías.</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¿Le parecen razonables los </w:t>
            </w:r>
            <w:r>
              <w:rPr>
                <w:b/>
                <w:sz w:val="21"/>
              </w:rPr>
              <w:t>tres tramos</w:t>
            </w:r>
            <w:r>
              <w:rPr>
                <w:b w:val="0"/>
                <w:sz w:val="21"/>
              </w:rPr>
              <w:t xml:space="preserve"> (≤ 7 / 8–14 / ≥ 15 días) y la forma en que </w:t>
            </w:r>
            <w:r>
              <w:rPr>
                <w:b/>
                <w:sz w:val="21"/>
              </w:rPr>
              <w:t>reducen la confianza y amplían el margen</w:t>
            </w:r>
            <w:r>
              <w:rPr>
                <w:b w:val="0"/>
                <w:sz w:val="21"/>
              </w:rPr>
              <w:t xml:space="preserve"> de la predicción? ¿Propondría otros cortes u otra manera de expresarlo a la paciente?</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1"/>
      </w:pPr>
      <w:r>
        <w:t>Bloque B · Hormonas y análisis de laboratorio</w:t>
      </w:r>
    </w:p>
    <w:p>
      <w:pPr>
        <w:spacing w:after="160"/>
      </w:pPr>
      <w:r>
        <w:rPr>
          <w:b w:val="0"/>
          <w:color w:val="8A6F5E"/>
          <w:sz w:val="21"/>
        </w:rPr>
        <w:t>Estos tres puntos definen cómo la aplicación interpreta los resultados de laboratorio que la paciente guarda: con qué rangos los compara, en qué unidades los guarda y qué hace con el GLP-1.</w:t>
      </w:r>
    </w:p>
    <w:p>
      <w:pPr>
        <w:pStyle w:val="Heading2"/>
      </w:pPr>
      <w:r>
        <w:rPr>
          <w:color w:val="C25A36"/>
        </w:rPr>
        <w:t xml:space="preserve">C-06  </w:t>
      </w:r>
      <w:r>
        <w:t>Rangos de referencia hormonales por fase del ciclo</w:t>
      </w:r>
    </w:p>
    <w:p>
      <w:pPr>
        <w:spacing w:after="40"/>
      </w:pPr>
      <w:r>
        <w:rPr>
          <w:i/>
          <w:color w:val="8A6F5E"/>
          <w:sz w:val="18"/>
        </w:rPr>
        <w:t>Gráfico hormonal  ·  Detalle de cada hormona  ·  Confirmación de un análisis  ·  Seguridad</w:t>
      </w:r>
    </w:p>
    <w:p>
      <w:pPr>
        <w:keepNext/>
        <w:spacing w:before="160" w:after="40"/>
      </w:pPr>
      <w:r>
        <w:rPr>
          <w:b/>
          <w:color w:val="C25A36"/>
          <w:sz w:val="18"/>
        </w:rPr>
        <w:t>¿PARA QUÉ SE USA EN LA APP?</w:t>
      </w:r>
    </w:p>
    <w:p>
      <w:pPr>
        <w:spacing w:after="80"/>
      </w:pPr>
      <w:r>
        <w:rPr>
          <w:b w:val="0"/>
        </w:rPr>
        <w:t xml:space="preserve">La paciente puede guardar los resultados de sus análisis hormonales (escribiéndolos o fotografiando el informe del laboratorio). La aplicación los muestra en un gráfico por fecha y por fase, y señala si cada valor está dentro o fuera del rango habitual </w:t>
      </w:r>
      <w:r>
        <w:rPr>
          <w:b/>
        </w:rPr>
        <w:t>para la fase del ciclo en que se hizo el análisis</w:t>
      </w:r>
      <w:r>
        <w:rPr>
          <w:b w:val="0"/>
        </w:rPr>
        <w:t>.</w:t>
      </w:r>
    </w:p>
    <w:p>
      <w:pPr>
        <w:spacing w:after="80"/>
      </w:pPr>
      <w:r>
        <w:rPr>
          <w:b w:val="0"/>
        </w:rPr>
        <w:t>Si la fase es desconocida o la menstruación está suprimida, no se aplica ningún rango. Un valor fuera de rango nunca impide guardarlo: solo se marca y no se usa en los cálculos de confianza.</w:t>
      </w:r>
    </w:p>
    <w:p>
      <w:pPr>
        <w:spacing w:after="80"/>
      </w:pPr>
      <w:r>
        <w:rPr>
          <w:b w:val="0"/>
        </w:rPr>
        <w:t>Estado actual: pendiente de construir; estos rangos se incorporarán cuando usted los valide.</w:t>
      </w:r>
    </w:p>
    <w:p>
      <w:pPr>
        <w:keepNext/>
        <w:spacing w:before="160" w:after="40"/>
      </w:pPr>
      <w:r>
        <w:rPr>
          <w:b/>
          <w:color w:val="C25A36"/>
          <w:sz w:val="18"/>
        </w:rPr>
        <w:t>DECISIÓN PROVISIONAL DE CAROLINA (RESPONSABLE DEL PRODUCTO)</w:t>
      </w:r>
    </w:p>
    <w:p>
      <w:pPr>
        <w:spacing w:after="80"/>
      </w:pPr>
      <w:r>
        <w:rPr>
          <w:b w:val="0"/>
        </w:rPr>
        <w:t xml:space="preserve">Usar como fuente de referencia los rangos de </w:t>
      </w:r>
      <w:r>
        <w:rPr>
          <w:b/>
        </w:rPr>
        <w:t>Mayo Clinic Laboratories</w:t>
      </w:r>
      <w:r>
        <w:rPr>
          <w:b w:val="0"/>
        </w:rPr>
        <w:t xml:space="preserve"> (dependen del método de análisis de cada laboratorio), por fase:</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1926"/>
        <w:gridCol w:w="1926"/>
        <w:gridCol w:w="1926"/>
        <w:gridCol w:w="1926"/>
        <w:gridCol w:w="1926"/>
      </w:tblGrid>
      <w:tr>
        <w:trPr>
          <w:tblHeader w:val="true"/>
          <w:cantSplit w:val="true"/>
        </w:trPr>
        <w:tc>
          <w:tcPr>
            <w:tcW w:type="dxa" w:w="2041"/>
            <w:shd w:val="clear" w:color="auto" w:fill="F3D9CC"/>
            <w:tcMar>
              <w:top w:w="80" w:type="dxa"/>
              <w:bottom w:w="80" w:type="dxa"/>
              <w:start w:w="120" w:type="dxa"/>
              <w:end w:w="120" w:type="dxa"/>
            </w:tcMar>
          </w:tcPr>
          <w:p>
            <w:pPr>
              <w:keepNext/>
            </w:pPr>
            <w:r/>
            <w:r>
              <w:rPr>
                <w:b/>
                <w:sz w:val="18"/>
              </w:rPr>
              <w:t>Hormona</w:t>
            </w:r>
          </w:p>
        </w:tc>
        <w:tc>
          <w:tcPr>
            <w:tcW w:type="dxa" w:w="3175"/>
            <w:shd w:val="clear" w:color="auto" w:fill="F3D9CC"/>
            <w:tcMar>
              <w:top w:w="80" w:type="dxa"/>
              <w:bottom w:w="80" w:type="dxa"/>
              <w:start w:w="120" w:type="dxa"/>
              <w:end w:w="120" w:type="dxa"/>
            </w:tcMar>
          </w:tcPr>
          <w:p>
            <w:pPr>
              <w:keepNext/>
            </w:pPr>
            <w:r/>
            <w:r>
              <w:rPr>
                <w:b/>
                <w:sz w:val="18"/>
              </w:rPr>
              <w:t>Fase o condición</w:t>
            </w:r>
          </w:p>
        </w:tc>
        <w:tc>
          <w:tcPr>
            <w:tcW w:type="dxa" w:w="1304"/>
            <w:shd w:val="clear" w:color="auto" w:fill="F3D9CC"/>
            <w:tcMar>
              <w:top w:w="80" w:type="dxa"/>
              <w:bottom w:w="80" w:type="dxa"/>
              <w:start w:w="120" w:type="dxa"/>
              <w:end w:w="120" w:type="dxa"/>
            </w:tcMar>
          </w:tcPr>
          <w:p>
            <w:pPr>
              <w:keepNext/>
            </w:pPr>
            <w:r/>
            <w:r>
              <w:rPr>
                <w:b/>
                <w:sz w:val="18"/>
              </w:rPr>
              <w:t>Desde</w:t>
            </w:r>
          </w:p>
        </w:tc>
        <w:tc>
          <w:tcPr>
            <w:tcW w:type="dxa" w:w="1304"/>
            <w:shd w:val="clear" w:color="auto" w:fill="F3D9CC"/>
            <w:tcMar>
              <w:top w:w="80" w:type="dxa"/>
              <w:bottom w:w="80" w:type="dxa"/>
              <w:start w:w="120" w:type="dxa"/>
              <w:end w:w="120" w:type="dxa"/>
            </w:tcMar>
          </w:tcPr>
          <w:p>
            <w:pPr>
              <w:keepNext/>
            </w:pPr>
            <w:r/>
            <w:r>
              <w:rPr>
                <w:b/>
                <w:sz w:val="18"/>
              </w:rPr>
              <w:t>Hasta</w:t>
            </w:r>
          </w:p>
        </w:tc>
        <w:tc>
          <w:tcPr>
            <w:tcW w:type="dxa" w:w="1191"/>
            <w:shd w:val="clear" w:color="auto" w:fill="F3D9CC"/>
            <w:tcMar>
              <w:top w:w="80" w:type="dxa"/>
              <w:bottom w:w="80" w:type="dxa"/>
              <w:start w:w="120" w:type="dxa"/>
              <w:end w:w="120" w:type="dxa"/>
            </w:tcMar>
          </w:tcPr>
          <w:p>
            <w:pPr>
              <w:keepNext/>
            </w:pPr>
            <w:r/>
            <w:r>
              <w:rPr>
                <w:b/>
                <w:sz w:val="18"/>
              </w:rPr>
              <w:t>Unidad</w:t>
            </w:r>
          </w:p>
        </w:tc>
      </w:tr>
      <w:tr>
        <w:trPr>
          <w:cantSplit w:val="true"/>
        </w:trPr>
        <w:tc>
          <w:tcPr>
            <w:tcW w:type="dxa" w:w="2041"/>
            <w:tcMar>
              <w:top w:w="80" w:type="dxa"/>
              <w:bottom w:w="80" w:type="dxa"/>
              <w:start w:w="120" w:type="dxa"/>
              <w:end w:w="120" w:type="dxa"/>
            </w:tcMar>
          </w:tcPr>
          <w:p>
            <w:pPr>
              <w:keepNext/>
            </w:pPr>
            <w:r/>
            <w:r>
              <w:rPr>
                <w:b w:val="0"/>
                <w:sz w:val="18"/>
              </w:rPr>
              <w:t>Estradiol</w:t>
            </w:r>
          </w:p>
        </w:tc>
        <w:tc>
          <w:tcPr>
            <w:tcW w:type="dxa" w:w="3175"/>
            <w:tcMar>
              <w:top w:w="80" w:type="dxa"/>
              <w:bottom w:w="80" w:type="dxa"/>
              <w:start w:w="120" w:type="dxa"/>
              <w:end w:w="120" w:type="dxa"/>
            </w:tcMar>
          </w:tcPr>
          <w:p>
            <w:pPr>
              <w:keepNext/>
            </w:pPr>
            <w:r/>
            <w:r>
              <w:rPr>
                <w:b w:val="0"/>
                <w:sz w:val="18"/>
              </w:rPr>
              <w:t>Menstrual / folicular temprana</w:t>
            </w:r>
          </w:p>
        </w:tc>
        <w:tc>
          <w:tcPr>
            <w:tcW w:type="dxa" w:w="1304"/>
            <w:tcMar>
              <w:top w:w="80" w:type="dxa"/>
              <w:bottom w:w="80" w:type="dxa"/>
              <w:start w:w="120" w:type="dxa"/>
              <w:end w:w="120" w:type="dxa"/>
            </w:tcMar>
          </w:tcPr>
          <w:p>
            <w:pPr>
              <w:keepNext/>
            </w:pPr>
            <w:r/>
            <w:r>
              <w:rPr>
                <w:b w:val="0"/>
                <w:sz w:val="18"/>
              </w:rPr>
              <w:t>25</w:t>
            </w:r>
          </w:p>
        </w:tc>
        <w:tc>
          <w:tcPr>
            <w:tcW w:type="dxa" w:w="1304"/>
            <w:tcMar>
              <w:top w:w="80" w:type="dxa"/>
              <w:bottom w:w="80" w:type="dxa"/>
              <w:start w:w="120" w:type="dxa"/>
              <w:end w:w="120" w:type="dxa"/>
            </w:tcMar>
          </w:tcPr>
          <w:p>
            <w:pPr>
              <w:keepNext/>
            </w:pPr>
            <w:r/>
            <w:r>
              <w:rPr>
                <w:b w:val="0"/>
                <w:sz w:val="18"/>
              </w:rPr>
              <w:t>120</w:t>
            </w:r>
          </w:p>
        </w:tc>
        <w:tc>
          <w:tcPr>
            <w:tcW w:type="dxa" w:w="1191"/>
            <w:tcMar>
              <w:top w:w="80" w:type="dxa"/>
              <w:bottom w:w="80" w:type="dxa"/>
              <w:start w:w="120" w:type="dxa"/>
              <w:end w:w="120" w:type="dxa"/>
            </w:tcMar>
          </w:tcPr>
          <w:p>
            <w:pPr>
              <w:keepNext/>
            </w:pPr>
            <w:r/>
            <w:r>
              <w:rPr>
                <w:b w:val="0"/>
                <w:sz w:val="18"/>
              </w:rPr>
              <w:t>pg/mL</w:t>
            </w:r>
          </w:p>
        </w:tc>
      </w:tr>
      <w:tr>
        <w:trPr>
          <w:cantSplit w:val="true"/>
        </w:trPr>
        <w:tc>
          <w:tcPr>
            <w:tcW w:type="dxa" w:w="2041"/>
            <w:tcMar>
              <w:top w:w="80" w:type="dxa"/>
              <w:bottom w:w="80" w:type="dxa"/>
              <w:start w:w="120" w:type="dxa"/>
              <w:end w:w="120" w:type="dxa"/>
            </w:tcMar>
            <w:shd w:val="clear" w:color="auto" w:fill="FAF6EF"/>
          </w:tcPr>
          <w:p>
            <w:pPr>
              <w:keepNext/>
            </w:pPr>
            <w:r/>
            <w:r>
              <w:rPr>
                <w:b w:val="0"/>
                <w:sz w:val="18"/>
              </w:rPr>
              <w:t>Estradiol</w:t>
            </w:r>
          </w:p>
        </w:tc>
        <w:tc>
          <w:tcPr>
            <w:tcW w:type="dxa" w:w="3175"/>
            <w:tcMar>
              <w:top w:w="80" w:type="dxa"/>
              <w:bottom w:w="80" w:type="dxa"/>
              <w:start w:w="120" w:type="dxa"/>
              <w:end w:w="120" w:type="dxa"/>
            </w:tcMar>
            <w:shd w:val="clear" w:color="auto" w:fill="FAF6EF"/>
          </w:tcPr>
          <w:p>
            <w:pPr>
              <w:keepNext/>
            </w:pPr>
            <w:r/>
            <w:r>
              <w:rPr>
                <w:b w:val="0"/>
                <w:sz w:val="18"/>
              </w:rPr>
              <w:t>Folicular</w:t>
            </w:r>
          </w:p>
        </w:tc>
        <w:tc>
          <w:tcPr>
            <w:tcW w:type="dxa" w:w="1304"/>
            <w:tcMar>
              <w:top w:w="80" w:type="dxa"/>
              <w:bottom w:w="80" w:type="dxa"/>
              <w:start w:w="120" w:type="dxa"/>
              <w:end w:w="120" w:type="dxa"/>
            </w:tcMar>
            <w:shd w:val="clear" w:color="auto" w:fill="FAF6EF"/>
          </w:tcPr>
          <w:p>
            <w:pPr>
              <w:keepNext/>
            </w:pPr>
            <w:r/>
            <w:r>
              <w:rPr>
                <w:b w:val="0"/>
                <w:sz w:val="18"/>
              </w:rPr>
              <w:t>25</w:t>
            </w:r>
          </w:p>
        </w:tc>
        <w:tc>
          <w:tcPr>
            <w:tcW w:type="dxa" w:w="1304"/>
            <w:tcMar>
              <w:top w:w="80" w:type="dxa"/>
              <w:bottom w:w="80" w:type="dxa"/>
              <w:start w:w="120" w:type="dxa"/>
              <w:end w:w="120" w:type="dxa"/>
            </w:tcMar>
            <w:shd w:val="clear" w:color="auto" w:fill="FAF6EF"/>
          </w:tcPr>
          <w:p>
            <w:pPr>
              <w:keepNext/>
            </w:pPr>
            <w:r/>
            <w:r>
              <w:rPr>
                <w:b w:val="0"/>
                <w:sz w:val="18"/>
              </w:rPr>
              <w:t>120</w:t>
            </w:r>
          </w:p>
        </w:tc>
        <w:tc>
          <w:tcPr>
            <w:tcW w:type="dxa" w:w="1191"/>
            <w:tcMar>
              <w:top w:w="80" w:type="dxa"/>
              <w:bottom w:w="80" w:type="dxa"/>
              <w:start w:w="120" w:type="dxa"/>
              <w:end w:w="120" w:type="dxa"/>
            </w:tcMar>
            <w:shd w:val="clear" w:color="auto" w:fill="FAF6EF"/>
          </w:tcPr>
          <w:p>
            <w:pPr>
              <w:keepNext/>
            </w:pPr>
            <w:r/>
            <w:r>
              <w:rPr>
                <w:b w:val="0"/>
                <w:sz w:val="18"/>
              </w:rPr>
              <w:t>pg/mL</w:t>
            </w:r>
          </w:p>
        </w:tc>
      </w:tr>
      <w:tr>
        <w:trPr>
          <w:cantSplit w:val="true"/>
        </w:trPr>
        <w:tc>
          <w:tcPr>
            <w:tcW w:type="dxa" w:w="2041"/>
            <w:tcMar>
              <w:top w:w="80" w:type="dxa"/>
              <w:bottom w:w="80" w:type="dxa"/>
              <w:start w:w="120" w:type="dxa"/>
              <w:end w:w="120" w:type="dxa"/>
            </w:tcMar>
          </w:tcPr>
          <w:p>
            <w:r/>
            <w:r>
              <w:rPr>
                <w:b w:val="0"/>
                <w:sz w:val="18"/>
              </w:rPr>
              <w:t>Estradiol</w:t>
            </w:r>
          </w:p>
        </w:tc>
        <w:tc>
          <w:tcPr>
            <w:tcW w:type="dxa" w:w="3175"/>
            <w:tcMar>
              <w:top w:w="80" w:type="dxa"/>
              <w:bottom w:w="80" w:type="dxa"/>
              <w:start w:w="120" w:type="dxa"/>
              <w:end w:w="120" w:type="dxa"/>
            </w:tcMar>
          </w:tcPr>
          <w:p>
            <w:r/>
            <w:r>
              <w:rPr>
                <w:b w:val="0"/>
                <w:sz w:val="18"/>
              </w:rPr>
              <w:t>Ovulatoria (pico de mitad de ciclo)</w:t>
            </w:r>
          </w:p>
        </w:tc>
        <w:tc>
          <w:tcPr>
            <w:tcW w:type="dxa" w:w="1304"/>
            <w:tcMar>
              <w:top w:w="80" w:type="dxa"/>
              <w:bottom w:w="80" w:type="dxa"/>
              <w:start w:w="120" w:type="dxa"/>
              <w:end w:w="120" w:type="dxa"/>
            </w:tcMar>
          </w:tcPr>
          <w:p>
            <w:r/>
            <w:r>
              <w:rPr>
                <w:b w:val="0"/>
                <w:sz w:val="18"/>
              </w:rPr>
              <w:t>30</w:t>
            </w:r>
          </w:p>
        </w:tc>
        <w:tc>
          <w:tcPr>
            <w:tcW w:type="dxa" w:w="1304"/>
            <w:tcMar>
              <w:top w:w="80" w:type="dxa"/>
              <w:bottom w:w="80" w:type="dxa"/>
              <w:start w:w="120" w:type="dxa"/>
              <w:end w:w="120" w:type="dxa"/>
            </w:tcMar>
          </w:tcPr>
          <w:p>
            <w:r/>
            <w:r>
              <w:rPr>
                <w:b w:val="0"/>
                <w:sz w:val="18"/>
              </w:rPr>
              <w:t>520</w:t>
            </w:r>
          </w:p>
        </w:tc>
        <w:tc>
          <w:tcPr>
            <w:tcW w:type="dxa" w:w="1191"/>
            <w:tcMar>
              <w:top w:w="80" w:type="dxa"/>
              <w:bottom w:w="80" w:type="dxa"/>
              <w:start w:w="120" w:type="dxa"/>
              <w:end w:w="120" w:type="dxa"/>
            </w:tcMar>
          </w:tcPr>
          <w:p>
            <w:r/>
            <w:r>
              <w:rPr>
                <w:b w:val="0"/>
                <w:sz w:val="18"/>
              </w:rPr>
              <w:t>pg/mL</w:t>
            </w:r>
          </w:p>
        </w:tc>
      </w:tr>
      <w:tr>
        <w:trPr>
          <w:cantSplit w:val="true"/>
        </w:trPr>
        <w:tc>
          <w:tcPr>
            <w:tcW w:type="dxa" w:w="2041"/>
            <w:tcMar>
              <w:top w:w="80" w:type="dxa"/>
              <w:bottom w:w="80" w:type="dxa"/>
              <w:start w:w="120" w:type="dxa"/>
              <w:end w:w="120" w:type="dxa"/>
            </w:tcMar>
            <w:shd w:val="clear" w:color="auto" w:fill="FAF6EF"/>
          </w:tcPr>
          <w:p>
            <w:r/>
            <w:r>
              <w:rPr>
                <w:b w:val="0"/>
                <w:sz w:val="18"/>
              </w:rPr>
              <w:t>Estradiol</w:t>
            </w:r>
          </w:p>
        </w:tc>
        <w:tc>
          <w:tcPr>
            <w:tcW w:type="dxa" w:w="3175"/>
            <w:tcMar>
              <w:top w:w="80" w:type="dxa"/>
              <w:bottom w:w="80" w:type="dxa"/>
              <w:start w:w="120" w:type="dxa"/>
              <w:end w:w="120" w:type="dxa"/>
            </w:tcMar>
            <w:shd w:val="clear" w:color="auto" w:fill="FAF6EF"/>
          </w:tcPr>
          <w:p>
            <w:r/>
            <w:r>
              <w:rPr>
                <w:b w:val="0"/>
                <w:sz w:val="18"/>
              </w:rPr>
              <w:t>Lútea</w:t>
            </w:r>
          </w:p>
        </w:tc>
        <w:tc>
          <w:tcPr>
            <w:tcW w:type="dxa" w:w="1304"/>
            <w:tcMar>
              <w:top w:w="80" w:type="dxa"/>
              <w:bottom w:w="80" w:type="dxa"/>
              <w:start w:w="120" w:type="dxa"/>
              <w:end w:w="120" w:type="dxa"/>
            </w:tcMar>
            <w:shd w:val="clear" w:color="auto" w:fill="FAF6EF"/>
          </w:tcPr>
          <w:p>
            <w:r/>
            <w:r>
              <w:rPr>
                <w:b w:val="0"/>
                <w:sz w:val="18"/>
              </w:rPr>
              <w:t>35</w:t>
            </w:r>
          </w:p>
        </w:tc>
        <w:tc>
          <w:tcPr>
            <w:tcW w:type="dxa" w:w="1304"/>
            <w:tcMar>
              <w:top w:w="80" w:type="dxa"/>
              <w:bottom w:w="80" w:type="dxa"/>
              <w:start w:w="120" w:type="dxa"/>
              <w:end w:w="120" w:type="dxa"/>
            </w:tcMar>
            <w:shd w:val="clear" w:color="auto" w:fill="FAF6EF"/>
          </w:tcPr>
          <w:p>
            <w:r/>
            <w:r>
              <w:rPr>
                <w:b w:val="0"/>
                <w:sz w:val="18"/>
              </w:rPr>
              <w:t>250</w:t>
            </w:r>
          </w:p>
        </w:tc>
        <w:tc>
          <w:tcPr>
            <w:tcW w:type="dxa" w:w="1191"/>
            <w:tcMar>
              <w:top w:w="80" w:type="dxa"/>
              <w:bottom w:w="80" w:type="dxa"/>
              <w:start w:w="120" w:type="dxa"/>
              <w:end w:w="120" w:type="dxa"/>
            </w:tcMar>
            <w:shd w:val="clear" w:color="auto" w:fill="FAF6EF"/>
          </w:tcPr>
          <w:p>
            <w:r/>
            <w:r>
              <w:rPr>
                <w:b w:val="0"/>
                <w:sz w:val="18"/>
              </w:rPr>
              <w:t>pg/mL</w:t>
            </w:r>
          </w:p>
        </w:tc>
      </w:tr>
      <w:tr>
        <w:trPr>
          <w:cantSplit w:val="true"/>
        </w:trPr>
        <w:tc>
          <w:tcPr>
            <w:tcW w:type="dxa" w:w="2041"/>
            <w:tcMar>
              <w:top w:w="80" w:type="dxa"/>
              <w:bottom w:w="80" w:type="dxa"/>
              <w:start w:w="120" w:type="dxa"/>
              <w:end w:w="120" w:type="dxa"/>
            </w:tcMar>
          </w:tcPr>
          <w:p>
            <w:r/>
            <w:r>
              <w:rPr>
                <w:b w:val="0"/>
                <w:sz w:val="18"/>
              </w:rPr>
              <w:t>Progesterona</w:t>
            </w:r>
          </w:p>
        </w:tc>
        <w:tc>
          <w:tcPr>
            <w:tcW w:type="dxa" w:w="3175"/>
            <w:tcMar>
              <w:top w:w="80" w:type="dxa"/>
              <w:bottom w:w="80" w:type="dxa"/>
              <w:start w:w="120" w:type="dxa"/>
              <w:end w:w="120" w:type="dxa"/>
            </w:tcMar>
          </w:tcPr>
          <w:p>
            <w:r/>
            <w:r>
              <w:rPr>
                <w:b w:val="0"/>
                <w:sz w:val="18"/>
              </w:rPr>
              <w:t>Folicular</w:t>
            </w:r>
          </w:p>
        </w:tc>
        <w:tc>
          <w:tcPr>
            <w:tcW w:type="dxa" w:w="1304"/>
            <w:tcMar>
              <w:top w:w="80" w:type="dxa"/>
              <w:bottom w:w="80" w:type="dxa"/>
              <w:start w:w="120" w:type="dxa"/>
              <w:end w:w="120" w:type="dxa"/>
            </w:tcMar>
          </w:tcPr>
          <w:p>
            <w:r/>
            <w:r>
              <w:rPr>
                <w:b w:val="0"/>
                <w:sz w:val="18"/>
              </w:rPr>
              <w:t>0</w:t>
            </w:r>
          </w:p>
        </w:tc>
        <w:tc>
          <w:tcPr>
            <w:tcW w:type="dxa" w:w="1304"/>
            <w:tcMar>
              <w:top w:w="80" w:type="dxa"/>
              <w:bottom w:w="80" w:type="dxa"/>
              <w:start w:w="120" w:type="dxa"/>
              <w:end w:w="120" w:type="dxa"/>
            </w:tcMar>
          </w:tcPr>
          <w:p>
            <w:r/>
            <w:r>
              <w:rPr>
                <w:b w:val="0"/>
                <w:sz w:val="18"/>
              </w:rPr>
              <w:t>0,89</w:t>
            </w:r>
          </w:p>
        </w:tc>
        <w:tc>
          <w:tcPr>
            <w:tcW w:type="dxa" w:w="1191"/>
            <w:tcMar>
              <w:top w:w="80" w:type="dxa"/>
              <w:bottom w:w="80" w:type="dxa"/>
              <w:start w:w="120" w:type="dxa"/>
              <w:end w:w="120" w:type="dxa"/>
            </w:tcMar>
          </w:tcPr>
          <w:p>
            <w:r/>
            <w:r>
              <w:rPr>
                <w:b w:val="0"/>
                <w:sz w:val="18"/>
              </w:rPr>
              <w:t>ng/mL</w:t>
            </w:r>
          </w:p>
        </w:tc>
      </w:tr>
      <w:tr>
        <w:trPr>
          <w:cantSplit w:val="true"/>
        </w:trPr>
        <w:tc>
          <w:tcPr>
            <w:tcW w:type="dxa" w:w="2041"/>
            <w:tcMar>
              <w:top w:w="80" w:type="dxa"/>
              <w:bottom w:w="80" w:type="dxa"/>
              <w:start w:w="120" w:type="dxa"/>
              <w:end w:w="120" w:type="dxa"/>
            </w:tcMar>
            <w:shd w:val="clear" w:color="auto" w:fill="FAF6EF"/>
          </w:tcPr>
          <w:p>
            <w:r/>
            <w:r>
              <w:rPr>
                <w:b w:val="0"/>
                <w:sz w:val="18"/>
              </w:rPr>
              <w:t>Progesterona</w:t>
            </w:r>
          </w:p>
        </w:tc>
        <w:tc>
          <w:tcPr>
            <w:tcW w:type="dxa" w:w="3175"/>
            <w:tcMar>
              <w:top w:w="80" w:type="dxa"/>
              <w:bottom w:w="80" w:type="dxa"/>
              <w:start w:w="120" w:type="dxa"/>
              <w:end w:w="120" w:type="dxa"/>
            </w:tcMar>
            <w:shd w:val="clear" w:color="auto" w:fill="FAF6EF"/>
          </w:tcPr>
          <w:p>
            <w:r/>
            <w:r>
              <w:rPr>
                <w:b w:val="0"/>
                <w:sz w:val="18"/>
              </w:rPr>
              <w:t>Lútea</w:t>
            </w:r>
          </w:p>
        </w:tc>
        <w:tc>
          <w:tcPr>
            <w:tcW w:type="dxa" w:w="1304"/>
            <w:tcMar>
              <w:top w:w="80" w:type="dxa"/>
              <w:bottom w:w="80" w:type="dxa"/>
              <w:start w:w="120" w:type="dxa"/>
              <w:end w:w="120" w:type="dxa"/>
            </w:tcMar>
            <w:shd w:val="clear" w:color="auto" w:fill="FAF6EF"/>
          </w:tcPr>
          <w:p>
            <w:r/>
            <w:r>
              <w:rPr>
                <w:b w:val="0"/>
                <w:sz w:val="18"/>
              </w:rPr>
              <w:t>1,8</w:t>
            </w:r>
          </w:p>
        </w:tc>
        <w:tc>
          <w:tcPr>
            <w:tcW w:type="dxa" w:w="1304"/>
            <w:tcMar>
              <w:top w:w="80" w:type="dxa"/>
              <w:bottom w:w="80" w:type="dxa"/>
              <w:start w:w="120" w:type="dxa"/>
              <w:end w:w="120" w:type="dxa"/>
            </w:tcMar>
            <w:shd w:val="clear" w:color="auto" w:fill="FAF6EF"/>
          </w:tcPr>
          <w:p>
            <w:r/>
            <w:r>
              <w:rPr>
                <w:b w:val="0"/>
                <w:sz w:val="18"/>
              </w:rPr>
              <w:t>24</w:t>
            </w:r>
          </w:p>
        </w:tc>
        <w:tc>
          <w:tcPr>
            <w:tcW w:type="dxa" w:w="1191"/>
            <w:tcMar>
              <w:top w:w="80" w:type="dxa"/>
              <w:bottom w:w="80" w:type="dxa"/>
              <w:start w:w="120" w:type="dxa"/>
              <w:end w:w="120" w:type="dxa"/>
            </w:tcMar>
            <w:shd w:val="clear" w:color="auto" w:fill="FAF6EF"/>
          </w:tcPr>
          <w:p>
            <w:r/>
            <w:r>
              <w:rPr>
                <w:b w:val="0"/>
                <w:sz w:val="18"/>
              </w:rPr>
              <w:t>ng/mL</w:t>
            </w:r>
          </w:p>
        </w:tc>
      </w:tr>
      <w:tr>
        <w:trPr>
          <w:cantSplit w:val="true"/>
        </w:trPr>
        <w:tc>
          <w:tcPr>
            <w:tcW w:type="dxa" w:w="2041"/>
            <w:tcMar>
              <w:top w:w="80" w:type="dxa"/>
              <w:bottom w:w="80" w:type="dxa"/>
              <w:start w:w="120" w:type="dxa"/>
              <w:end w:w="120" w:type="dxa"/>
            </w:tcMar>
          </w:tcPr>
          <w:p>
            <w:r/>
            <w:r>
              <w:rPr>
                <w:b w:val="0"/>
                <w:sz w:val="18"/>
              </w:rPr>
              <w:t>LH</w:t>
            </w:r>
          </w:p>
        </w:tc>
        <w:tc>
          <w:tcPr>
            <w:tcW w:type="dxa" w:w="3175"/>
            <w:tcMar>
              <w:top w:w="80" w:type="dxa"/>
              <w:bottom w:w="80" w:type="dxa"/>
              <w:start w:w="120" w:type="dxa"/>
              <w:end w:w="120" w:type="dxa"/>
            </w:tcMar>
          </w:tcPr>
          <w:p>
            <w:r/>
            <w:r>
              <w:rPr>
                <w:b w:val="0"/>
                <w:sz w:val="18"/>
              </w:rPr>
              <w:t>Folicular</w:t>
            </w:r>
          </w:p>
        </w:tc>
        <w:tc>
          <w:tcPr>
            <w:tcW w:type="dxa" w:w="1304"/>
            <w:tcMar>
              <w:top w:w="80" w:type="dxa"/>
              <w:bottom w:w="80" w:type="dxa"/>
              <w:start w:w="120" w:type="dxa"/>
              <w:end w:w="120" w:type="dxa"/>
            </w:tcMar>
          </w:tcPr>
          <w:p>
            <w:r/>
            <w:r>
              <w:rPr>
                <w:b w:val="0"/>
                <w:sz w:val="18"/>
              </w:rPr>
              <w:t>1,8</w:t>
            </w:r>
          </w:p>
        </w:tc>
        <w:tc>
          <w:tcPr>
            <w:tcW w:type="dxa" w:w="1304"/>
            <w:tcMar>
              <w:top w:w="80" w:type="dxa"/>
              <w:bottom w:w="80" w:type="dxa"/>
              <w:start w:w="120" w:type="dxa"/>
              <w:end w:w="120" w:type="dxa"/>
            </w:tcMar>
          </w:tcPr>
          <w:p>
            <w:r/>
            <w:r>
              <w:rPr>
                <w:b w:val="0"/>
                <w:sz w:val="18"/>
              </w:rPr>
              <w:t>11,8</w:t>
            </w:r>
          </w:p>
        </w:tc>
        <w:tc>
          <w:tcPr>
            <w:tcW w:type="dxa" w:w="1191"/>
            <w:tcMar>
              <w:top w:w="80" w:type="dxa"/>
              <w:bottom w:w="80" w:type="dxa"/>
              <w:start w:w="120" w:type="dxa"/>
              <w:end w:w="120" w:type="dxa"/>
            </w:tcMar>
          </w:tcPr>
          <w:p>
            <w:r/>
            <w:r>
              <w:rPr>
                <w:b w:val="0"/>
                <w:sz w:val="18"/>
              </w:rPr>
              <w:t>mUI/mL</w:t>
            </w:r>
          </w:p>
        </w:tc>
      </w:tr>
      <w:tr>
        <w:trPr>
          <w:cantSplit w:val="true"/>
        </w:trPr>
        <w:tc>
          <w:tcPr>
            <w:tcW w:type="dxa" w:w="2041"/>
            <w:tcMar>
              <w:top w:w="80" w:type="dxa"/>
              <w:bottom w:w="80" w:type="dxa"/>
              <w:start w:w="120" w:type="dxa"/>
              <w:end w:w="120" w:type="dxa"/>
            </w:tcMar>
            <w:shd w:val="clear" w:color="auto" w:fill="FAF6EF"/>
          </w:tcPr>
          <w:p>
            <w:r/>
            <w:r>
              <w:rPr>
                <w:b w:val="0"/>
                <w:sz w:val="18"/>
              </w:rPr>
              <w:t>LH</w:t>
            </w:r>
          </w:p>
        </w:tc>
        <w:tc>
          <w:tcPr>
            <w:tcW w:type="dxa" w:w="3175"/>
            <w:tcMar>
              <w:top w:w="80" w:type="dxa"/>
              <w:bottom w:w="80" w:type="dxa"/>
              <w:start w:w="120" w:type="dxa"/>
              <w:end w:w="120" w:type="dxa"/>
            </w:tcMar>
            <w:shd w:val="clear" w:color="auto" w:fill="FAF6EF"/>
          </w:tcPr>
          <w:p>
            <w:r/>
            <w:r>
              <w:rPr>
                <w:b w:val="0"/>
                <w:sz w:val="18"/>
              </w:rPr>
              <w:t>Pico de mitad de ciclo</w:t>
            </w:r>
          </w:p>
        </w:tc>
        <w:tc>
          <w:tcPr>
            <w:tcW w:type="dxa" w:w="1304"/>
            <w:tcMar>
              <w:top w:w="80" w:type="dxa"/>
              <w:bottom w:w="80" w:type="dxa"/>
              <w:start w:w="120" w:type="dxa"/>
              <w:end w:w="120" w:type="dxa"/>
            </w:tcMar>
            <w:shd w:val="clear" w:color="auto" w:fill="FAF6EF"/>
          </w:tcPr>
          <w:p>
            <w:r/>
            <w:r>
              <w:rPr>
                <w:b w:val="0"/>
                <w:sz w:val="18"/>
              </w:rPr>
              <w:t>7,6</w:t>
            </w:r>
          </w:p>
        </w:tc>
        <w:tc>
          <w:tcPr>
            <w:tcW w:type="dxa" w:w="1304"/>
            <w:tcMar>
              <w:top w:w="80" w:type="dxa"/>
              <w:bottom w:w="80" w:type="dxa"/>
              <w:start w:w="120" w:type="dxa"/>
              <w:end w:w="120" w:type="dxa"/>
            </w:tcMar>
            <w:shd w:val="clear" w:color="auto" w:fill="FAF6EF"/>
          </w:tcPr>
          <w:p>
            <w:r/>
            <w:r>
              <w:rPr>
                <w:b w:val="0"/>
                <w:sz w:val="18"/>
              </w:rPr>
              <w:t>89,1</w:t>
            </w:r>
          </w:p>
        </w:tc>
        <w:tc>
          <w:tcPr>
            <w:tcW w:type="dxa" w:w="1191"/>
            <w:tcMar>
              <w:top w:w="80" w:type="dxa"/>
              <w:bottom w:w="80" w:type="dxa"/>
              <w:start w:w="120" w:type="dxa"/>
              <w:end w:w="120" w:type="dxa"/>
            </w:tcMar>
            <w:shd w:val="clear" w:color="auto" w:fill="FAF6EF"/>
          </w:tcPr>
          <w:p>
            <w:r/>
            <w:r>
              <w:rPr>
                <w:b w:val="0"/>
                <w:sz w:val="18"/>
              </w:rPr>
              <w:t>mUI/mL</w:t>
            </w:r>
          </w:p>
        </w:tc>
      </w:tr>
      <w:tr>
        <w:trPr>
          <w:cantSplit w:val="true"/>
        </w:trPr>
        <w:tc>
          <w:tcPr>
            <w:tcW w:type="dxa" w:w="2041"/>
            <w:tcMar>
              <w:top w:w="80" w:type="dxa"/>
              <w:bottom w:w="80" w:type="dxa"/>
              <w:start w:w="120" w:type="dxa"/>
              <w:end w:w="120" w:type="dxa"/>
            </w:tcMar>
          </w:tcPr>
          <w:p>
            <w:r/>
            <w:r>
              <w:rPr>
                <w:b w:val="0"/>
                <w:sz w:val="18"/>
              </w:rPr>
              <w:t>LH</w:t>
            </w:r>
          </w:p>
        </w:tc>
        <w:tc>
          <w:tcPr>
            <w:tcW w:type="dxa" w:w="3175"/>
            <w:tcMar>
              <w:top w:w="80" w:type="dxa"/>
              <w:bottom w:w="80" w:type="dxa"/>
              <w:start w:w="120" w:type="dxa"/>
              <w:end w:w="120" w:type="dxa"/>
            </w:tcMar>
          </w:tcPr>
          <w:p>
            <w:r/>
            <w:r>
              <w:rPr>
                <w:b w:val="0"/>
                <w:sz w:val="18"/>
              </w:rPr>
              <w:t>Lútea</w:t>
            </w:r>
          </w:p>
        </w:tc>
        <w:tc>
          <w:tcPr>
            <w:tcW w:type="dxa" w:w="1304"/>
            <w:tcMar>
              <w:top w:w="80" w:type="dxa"/>
              <w:bottom w:w="80" w:type="dxa"/>
              <w:start w:w="120" w:type="dxa"/>
              <w:end w:w="120" w:type="dxa"/>
            </w:tcMar>
          </w:tcPr>
          <w:p>
            <w:r/>
            <w:r>
              <w:rPr>
                <w:b w:val="0"/>
                <w:sz w:val="18"/>
              </w:rPr>
              <w:t>0,6</w:t>
            </w:r>
          </w:p>
        </w:tc>
        <w:tc>
          <w:tcPr>
            <w:tcW w:type="dxa" w:w="1304"/>
            <w:tcMar>
              <w:top w:w="80" w:type="dxa"/>
              <w:bottom w:w="80" w:type="dxa"/>
              <w:start w:w="120" w:type="dxa"/>
              <w:end w:w="120" w:type="dxa"/>
            </w:tcMar>
          </w:tcPr>
          <w:p>
            <w:r/>
            <w:r>
              <w:rPr>
                <w:b w:val="0"/>
                <w:sz w:val="18"/>
              </w:rPr>
              <w:t>14,0</w:t>
            </w:r>
          </w:p>
        </w:tc>
        <w:tc>
          <w:tcPr>
            <w:tcW w:type="dxa" w:w="1191"/>
            <w:tcMar>
              <w:top w:w="80" w:type="dxa"/>
              <w:bottom w:w="80" w:type="dxa"/>
              <w:start w:w="120" w:type="dxa"/>
              <w:end w:w="120" w:type="dxa"/>
            </w:tcMar>
          </w:tcPr>
          <w:p>
            <w:r/>
            <w:r>
              <w:rPr>
                <w:b w:val="0"/>
                <w:sz w:val="18"/>
              </w:rPr>
              <w:t>mUI/mL</w:t>
            </w:r>
          </w:p>
        </w:tc>
      </w:tr>
      <w:tr>
        <w:trPr>
          <w:cantSplit w:val="true"/>
        </w:trPr>
        <w:tc>
          <w:tcPr>
            <w:tcW w:type="dxa" w:w="2041"/>
            <w:tcMar>
              <w:top w:w="80" w:type="dxa"/>
              <w:bottom w:w="80" w:type="dxa"/>
              <w:start w:w="120" w:type="dxa"/>
              <w:end w:w="120" w:type="dxa"/>
            </w:tcMar>
            <w:shd w:val="clear" w:color="auto" w:fill="FAF6EF"/>
          </w:tcPr>
          <w:p>
            <w:r/>
            <w:r>
              <w:rPr>
                <w:b w:val="0"/>
                <w:sz w:val="18"/>
              </w:rPr>
              <w:t>FSH</w:t>
            </w:r>
          </w:p>
        </w:tc>
        <w:tc>
          <w:tcPr>
            <w:tcW w:type="dxa" w:w="3175"/>
            <w:tcMar>
              <w:top w:w="80" w:type="dxa"/>
              <w:bottom w:w="80" w:type="dxa"/>
              <w:start w:w="120" w:type="dxa"/>
              <w:end w:w="120" w:type="dxa"/>
            </w:tcMar>
            <w:shd w:val="clear" w:color="auto" w:fill="FAF6EF"/>
          </w:tcPr>
          <w:p>
            <w:r/>
            <w:r>
              <w:rPr>
                <w:b w:val="0"/>
                <w:sz w:val="18"/>
              </w:rPr>
              <w:t>Folicular</w:t>
            </w:r>
          </w:p>
        </w:tc>
        <w:tc>
          <w:tcPr>
            <w:tcW w:type="dxa" w:w="1304"/>
            <w:tcMar>
              <w:top w:w="80" w:type="dxa"/>
              <w:bottom w:w="80" w:type="dxa"/>
              <w:start w:w="120" w:type="dxa"/>
              <w:end w:w="120" w:type="dxa"/>
            </w:tcMar>
            <w:shd w:val="clear" w:color="auto" w:fill="FAF6EF"/>
          </w:tcPr>
          <w:p>
            <w:r/>
            <w:r>
              <w:rPr>
                <w:b w:val="0"/>
                <w:sz w:val="18"/>
              </w:rPr>
              <w:t>3,03</w:t>
            </w:r>
          </w:p>
        </w:tc>
        <w:tc>
          <w:tcPr>
            <w:tcW w:type="dxa" w:w="1304"/>
            <w:tcMar>
              <w:top w:w="80" w:type="dxa"/>
              <w:bottom w:w="80" w:type="dxa"/>
              <w:start w:w="120" w:type="dxa"/>
              <w:end w:w="120" w:type="dxa"/>
            </w:tcMar>
            <w:shd w:val="clear" w:color="auto" w:fill="FAF6EF"/>
          </w:tcPr>
          <w:p>
            <w:r/>
            <w:r>
              <w:rPr>
                <w:b w:val="0"/>
                <w:sz w:val="18"/>
              </w:rPr>
              <w:t>8,08</w:t>
            </w:r>
          </w:p>
        </w:tc>
        <w:tc>
          <w:tcPr>
            <w:tcW w:type="dxa" w:w="1191"/>
            <w:tcMar>
              <w:top w:w="80" w:type="dxa"/>
              <w:bottom w:w="80" w:type="dxa"/>
              <w:start w:w="120" w:type="dxa"/>
              <w:end w:w="120" w:type="dxa"/>
            </w:tcMar>
            <w:shd w:val="clear" w:color="auto" w:fill="FAF6EF"/>
          </w:tcPr>
          <w:p>
            <w:r/>
            <w:r>
              <w:rPr>
                <w:b w:val="0"/>
                <w:sz w:val="18"/>
              </w:rPr>
              <w:t>mUI/mL</w:t>
            </w:r>
          </w:p>
        </w:tc>
      </w:tr>
      <w:tr>
        <w:trPr>
          <w:cantSplit w:val="true"/>
        </w:trPr>
        <w:tc>
          <w:tcPr>
            <w:tcW w:type="dxa" w:w="2041"/>
            <w:tcMar>
              <w:top w:w="80" w:type="dxa"/>
              <w:bottom w:w="80" w:type="dxa"/>
              <w:start w:w="120" w:type="dxa"/>
              <w:end w:w="120" w:type="dxa"/>
            </w:tcMar>
          </w:tcPr>
          <w:p>
            <w:r/>
            <w:r>
              <w:rPr>
                <w:b w:val="0"/>
                <w:sz w:val="18"/>
              </w:rPr>
              <w:t>FSH</w:t>
            </w:r>
          </w:p>
        </w:tc>
        <w:tc>
          <w:tcPr>
            <w:tcW w:type="dxa" w:w="3175"/>
            <w:tcMar>
              <w:top w:w="80" w:type="dxa"/>
              <w:bottom w:w="80" w:type="dxa"/>
              <w:start w:w="120" w:type="dxa"/>
              <w:end w:w="120" w:type="dxa"/>
            </w:tcMar>
          </w:tcPr>
          <w:p>
            <w:r/>
            <w:r>
              <w:rPr>
                <w:b w:val="0"/>
                <w:sz w:val="18"/>
              </w:rPr>
              <w:t>Pico de mitad de ciclo</w:t>
            </w:r>
          </w:p>
        </w:tc>
        <w:tc>
          <w:tcPr>
            <w:tcW w:type="dxa" w:w="1304"/>
            <w:tcMar>
              <w:top w:w="80" w:type="dxa"/>
              <w:bottom w:w="80" w:type="dxa"/>
              <w:start w:w="120" w:type="dxa"/>
              <w:end w:w="120" w:type="dxa"/>
            </w:tcMar>
          </w:tcPr>
          <w:p>
            <w:r/>
            <w:r>
              <w:rPr>
                <w:b w:val="0"/>
                <w:sz w:val="18"/>
              </w:rPr>
              <w:t>2,55</w:t>
            </w:r>
          </w:p>
        </w:tc>
        <w:tc>
          <w:tcPr>
            <w:tcW w:type="dxa" w:w="1304"/>
            <w:tcMar>
              <w:top w:w="80" w:type="dxa"/>
              <w:bottom w:w="80" w:type="dxa"/>
              <w:start w:w="120" w:type="dxa"/>
              <w:end w:w="120" w:type="dxa"/>
            </w:tcMar>
          </w:tcPr>
          <w:p>
            <w:r/>
            <w:r>
              <w:rPr>
                <w:b w:val="0"/>
                <w:sz w:val="18"/>
              </w:rPr>
              <w:t>16,69</w:t>
            </w:r>
          </w:p>
        </w:tc>
        <w:tc>
          <w:tcPr>
            <w:tcW w:type="dxa" w:w="1191"/>
            <w:tcMar>
              <w:top w:w="80" w:type="dxa"/>
              <w:bottom w:w="80" w:type="dxa"/>
              <w:start w:w="120" w:type="dxa"/>
              <w:end w:w="120" w:type="dxa"/>
            </w:tcMar>
          </w:tcPr>
          <w:p>
            <w:r/>
            <w:r>
              <w:rPr>
                <w:b w:val="0"/>
                <w:sz w:val="18"/>
              </w:rPr>
              <w:t>mUI/mL</w:t>
            </w:r>
          </w:p>
        </w:tc>
      </w:tr>
      <w:tr>
        <w:trPr>
          <w:cantSplit w:val="true"/>
        </w:trPr>
        <w:tc>
          <w:tcPr>
            <w:tcW w:type="dxa" w:w="2041"/>
            <w:tcMar>
              <w:top w:w="80" w:type="dxa"/>
              <w:bottom w:w="80" w:type="dxa"/>
              <w:start w:w="120" w:type="dxa"/>
              <w:end w:w="120" w:type="dxa"/>
            </w:tcMar>
            <w:shd w:val="clear" w:color="auto" w:fill="FAF6EF"/>
          </w:tcPr>
          <w:p>
            <w:r/>
            <w:r>
              <w:rPr>
                <w:b w:val="0"/>
                <w:sz w:val="18"/>
              </w:rPr>
              <w:t>FSH</w:t>
            </w:r>
          </w:p>
        </w:tc>
        <w:tc>
          <w:tcPr>
            <w:tcW w:type="dxa" w:w="3175"/>
            <w:tcMar>
              <w:top w:w="80" w:type="dxa"/>
              <w:bottom w:w="80" w:type="dxa"/>
              <w:start w:w="120" w:type="dxa"/>
              <w:end w:w="120" w:type="dxa"/>
            </w:tcMar>
            <w:shd w:val="clear" w:color="auto" w:fill="FAF6EF"/>
          </w:tcPr>
          <w:p>
            <w:r/>
            <w:r>
              <w:rPr>
                <w:b w:val="0"/>
                <w:sz w:val="18"/>
              </w:rPr>
              <w:t>Lútea</w:t>
            </w:r>
          </w:p>
        </w:tc>
        <w:tc>
          <w:tcPr>
            <w:tcW w:type="dxa" w:w="1304"/>
            <w:tcMar>
              <w:top w:w="80" w:type="dxa"/>
              <w:bottom w:w="80" w:type="dxa"/>
              <w:start w:w="120" w:type="dxa"/>
              <w:end w:w="120" w:type="dxa"/>
            </w:tcMar>
            <w:shd w:val="clear" w:color="auto" w:fill="FAF6EF"/>
          </w:tcPr>
          <w:p>
            <w:r/>
            <w:r>
              <w:rPr>
                <w:b w:val="0"/>
                <w:sz w:val="18"/>
              </w:rPr>
              <w:t>1,38</w:t>
            </w:r>
          </w:p>
        </w:tc>
        <w:tc>
          <w:tcPr>
            <w:tcW w:type="dxa" w:w="1304"/>
            <w:tcMar>
              <w:top w:w="80" w:type="dxa"/>
              <w:bottom w:w="80" w:type="dxa"/>
              <w:start w:w="120" w:type="dxa"/>
              <w:end w:w="120" w:type="dxa"/>
            </w:tcMar>
            <w:shd w:val="clear" w:color="auto" w:fill="FAF6EF"/>
          </w:tcPr>
          <w:p>
            <w:r/>
            <w:r>
              <w:rPr>
                <w:b w:val="0"/>
                <w:sz w:val="18"/>
              </w:rPr>
              <w:t>5,47</w:t>
            </w:r>
          </w:p>
        </w:tc>
        <w:tc>
          <w:tcPr>
            <w:tcW w:type="dxa" w:w="1191"/>
            <w:tcMar>
              <w:top w:w="80" w:type="dxa"/>
              <w:bottom w:w="80" w:type="dxa"/>
              <w:start w:w="120" w:type="dxa"/>
              <w:end w:w="120" w:type="dxa"/>
            </w:tcMar>
            <w:shd w:val="clear" w:color="auto" w:fill="FAF6EF"/>
          </w:tcPr>
          <w:p>
            <w:r/>
            <w:r>
              <w:rPr>
                <w:b w:val="0"/>
                <w:sz w:val="18"/>
              </w:rPr>
              <w:t>mUI/mL</w:t>
            </w:r>
          </w:p>
        </w:tc>
      </w:tr>
      <w:tr>
        <w:trPr>
          <w:cantSplit w:val="true"/>
        </w:trPr>
        <w:tc>
          <w:tcPr>
            <w:tcW w:type="dxa" w:w="2041"/>
            <w:tcMar>
              <w:top w:w="80" w:type="dxa"/>
              <w:bottom w:w="80" w:type="dxa"/>
              <w:start w:w="120" w:type="dxa"/>
              <w:end w:w="120" w:type="dxa"/>
            </w:tcMar>
          </w:tcPr>
          <w:p>
            <w:r/>
            <w:r>
              <w:rPr>
                <w:b w:val="0"/>
                <w:sz w:val="18"/>
              </w:rPr>
              <w:t>Testosterona (total)</w:t>
            </w:r>
          </w:p>
        </w:tc>
        <w:tc>
          <w:tcPr>
            <w:tcW w:type="dxa" w:w="3175"/>
            <w:tcMar>
              <w:top w:w="80" w:type="dxa"/>
              <w:bottom w:w="80" w:type="dxa"/>
              <w:start w:w="120" w:type="dxa"/>
              <w:end w:w="120" w:type="dxa"/>
            </w:tcMar>
          </w:tcPr>
          <w:p>
            <w:r/>
            <w:r>
              <w:rPr>
                <w:b w:val="0"/>
                <w:sz w:val="18"/>
              </w:rPr>
              <w:t>Cualquier fase (mujer ≥ 19 años)</w:t>
            </w:r>
          </w:p>
        </w:tc>
        <w:tc>
          <w:tcPr>
            <w:tcW w:type="dxa" w:w="1304"/>
            <w:tcMar>
              <w:top w:w="80" w:type="dxa"/>
              <w:bottom w:w="80" w:type="dxa"/>
              <w:start w:w="120" w:type="dxa"/>
              <w:end w:w="120" w:type="dxa"/>
            </w:tcMar>
          </w:tcPr>
          <w:p>
            <w:r/>
            <w:r>
              <w:rPr>
                <w:b w:val="0"/>
                <w:sz w:val="18"/>
              </w:rPr>
              <w:t>8</w:t>
            </w:r>
          </w:p>
        </w:tc>
        <w:tc>
          <w:tcPr>
            <w:tcW w:type="dxa" w:w="1304"/>
            <w:tcMar>
              <w:top w:w="80" w:type="dxa"/>
              <w:bottom w:w="80" w:type="dxa"/>
              <w:start w:w="120" w:type="dxa"/>
              <w:end w:w="120" w:type="dxa"/>
            </w:tcMar>
          </w:tcPr>
          <w:p>
            <w:r/>
            <w:r>
              <w:rPr>
                <w:b w:val="0"/>
                <w:sz w:val="18"/>
              </w:rPr>
              <w:t>60</w:t>
            </w:r>
          </w:p>
        </w:tc>
        <w:tc>
          <w:tcPr>
            <w:tcW w:type="dxa" w:w="1191"/>
            <w:tcMar>
              <w:top w:w="80" w:type="dxa"/>
              <w:bottom w:w="80" w:type="dxa"/>
              <w:start w:w="120" w:type="dxa"/>
              <w:end w:w="120" w:type="dxa"/>
            </w:tcMar>
          </w:tcPr>
          <w:p>
            <w:r/>
            <w:r>
              <w:rPr>
                <w:b w:val="0"/>
                <w:sz w:val="18"/>
              </w:rPr>
              <w:t>ng/dL</w:t>
            </w:r>
          </w:p>
        </w:tc>
      </w:tr>
      <w:tr>
        <w:trPr>
          <w:cantSplit w:val="true"/>
        </w:trPr>
        <w:tc>
          <w:tcPr>
            <w:tcW w:type="dxa" w:w="2041"/>
            <w:tcMar>
              <w:top w:w="80" w:type="dxa"/>
              <w:bottom w:w="80" w:type="dxa"/>
              <w:start w:w="120" w:type="dxa"/>
              <w:end w:w="120" w:type="dxa"/>
            </w:tcMar>
            <w:shd w:val="clear" w:color="auto" w:fill="FAF6EF"/>
          </w:tcPr>
          <w:p>
            <w:r/>
            <w:r>
              <w:rPr>
                <w:b w:val="0"/>
                <w:sz w:val="18"/>
              </w:rPr>
              <w:t>Cortisol</w:t>
            </w:r>
          </w:p>
        </w:tc>
        <w:tc>
          <w:tcPr>
            <w:tcW w:type="dxa" w:w="3175"/>
            <w:tcMar>
              <w:top w:w="80" w:type="dxa"/>
              <w:bottom w:w="80" w:type="dxa"/>
              <w:start w:w="120" w:type="dxa"/>
              <w:end w:w="120" w:type="dxa"/>
            </w:tcMar>
            <w:shd w:val="clear" w:color="auto" w:fill="FAF6EF"/>
          </w:tcPr>
          <w:p>
            <w:r/>
            <w:r>
              <w:rPr>
                <w:b w:val="0"/>
                <w:sz w:val="18"/>
              </w:rPr>
              <w:t>Mañana (7–9 h)</w:t>
            </w:r>
          </w:p>
        </w:tc>
        <w:tc>
          <w:tcPr>
            <w:tcW w:type="dxa" w:w="1304"/>
            <w:tcMar>
              <w:top w:w="80" w:type="dxa"/>
              <w:bottom w:w="80" w:type="dxa"/>
              <w:start w:w="120" w:type="dxa"/>
              <w:end w:w="120" w:type="dxa"/>
            </w:tcMar>
            <w:shd w:val="clear" w:color="auto" w:fill="FAF6EF"/>
          </w:tcPr>
          <w:p>
            <w:r/>
            <w:r>
              <w:rPr>
                <w:b w:val="0"/>
                <w:sz w:val="18"/>
              </w:rPr>
              <w:t>7</w:t>
            </w:r>
          </w:p>
        </w:tc>
        <w:tc>
          <w:tcPr>
            <w:tcW w:type="dxa" w:w="1304"/>
            <w:tcMar>
              <w:top w:w="80" w:type="dxa"/>
              <w:bottom w:w="80" w:type="dxa"/>
              <w:start w:w="120" w:type="dxa"/>
              <w:end w:w="120" w:type="dxa"/>
            </w:tcMar>
            <w:shd w:val="clear" w:color="auto" w:fill="FAF6EF"/>
          </w:tcPr>
          <w:p>
            <w:r/>
            <w:r>
              <w:rPr>
                <w:b w:val="0"/>
                <w:sz w:val="18"/>
              </w:rPr>
              <w:t>25</w:t>
            </w:r>
          </w:p>
        </w:tc>
        <w:tc>
          <w:tcPr>
            <w:tcW w:type="dxa" w:w="1191"/>
            <w:tcMar>
              <w:top w:w="80" w:type="dxa"/>
              <w:bottom w:w="80" w:type="dxa"/>
              <w:start w:w="120" w:type="dxa"/>
              <w:end w:w="120" w:type="dxa"/>
            </w:tcMar>
            <w:shd w:val="clear" w:color="auto" w:fill="FAF6EF"/>
          </w:tcPr>
          <w:p>
            <w:r/>
            <w:r>
              <w:rPr>
                <w:b w:val="0"/>
                <w:sz w:val="18"/>
              </w:rPr>
              <w:t>µg/dL</w:t>
            </w:r>
          </w:p>
        </w:tc>
      </w:tr>
      <w:tr>
        <w:trPr>
          <w:cantSplit w:val="true"/>
        </w:trPr>
        <w:tc>
          <w:tcPr>
            <w:tcW w:type="dxa" w:w="2041"/>
            <w:tcMar>
              <w:top w:w="80" w:type="dxa"/>
              <w:bottom w:w="80" w:type="dxa"/>
              <w:start w:w="120" w:type="dxa"/>
              <w:end w:w="120" w:type="dxa"/>
            </w:tcMar>
          </w:tcPr>
          <w:p>
            <w:r/>
            <w:r>
              <w:rPr>
                <w:b w:val="0"/>
                <w:sz w:val="18"/>
              </w:rPr>
              <w:t>Cortisol</w:t>
            </w:r>
          </w:p>
        </w:tc>
        <w:tc>
          <w:tcPr>
            <w:tcW w:type="dxa" w:w="3175"/>
            <w:tcMar>
              <w:top w:w="80" w:type="dxa"/>
              <w:bottom w:w="80" w:type="dxa"/>
              <w:start w:w="120" w:type="dxa"/>
              <w:end w:w="120" w:type="dxa"/>
            </w:tcMar>
          </w:tcPr>
          <w:p>
            <w:r/>
            <w:r>
              <w:rPr>
                <w:b w:val="0"/>
                <w:sz w:val="18"/>
              </w:rPr>
              <w:t>Tarde (15–17 h)</w:t>
            </w:r>
          </w:p>
        </w:tc>
        <w:tc>
          <w:tcPr>
            <w:tcW w:type="dxa" w:w="1304"/>
            <w:tcMar>
              <w:top w:w="80" w:type="dxa"/>
              <w:bottom w:w="80" w:type="dxa"/>
              <w:start w:w="120" w:type="dxa"/>
              <w:end w:w="120" w:type="dxa"/>
            </w:tcMar>
          </w:tcPr>
          <w:p>
            <w:r/>
            <w:r>
              <w:rPr>
                <w:b w:val="0"/>
                <w:sz w:val="18"/>
              </w:rPr>
              <w:t>2</w:t>
            </w:r>
          </w:p>
        </w:tc>
        <w:tc>
          <w:tcPr>
            <w:tcW w:type="dxa" w:w="1304"/>
            <w:tcMar>
              <w:top w:w="80" w:type="dxa"/>
              <w:bottom w:w="80" w:type="dxa"/>
              <w:start w:w="120" w:type="dxa"/>
              <w:end w:w="120" w:type="dxa"/>
            </w:tcMar>
          </w:tcPr>
          <w:p>
            <w:r/>
            <w:r>
              <w:rPr>
                <w:b w:val="0"/>
                <w:sz w:val="18"/>
              </w:rPr>
              <w:t>14</w:t>
            </w:r>
          </w:p>
        </w:tc>
        <w:tc>
          <w:tcPr>
            <w:tcW w:type="dxa" w:w="1191"/>
            <w:tcMar>
              <w:top w:w="80" w:type="dxa"/>
              <w:bottom w:w="80" w:type="dxa"/>
              <w:start w:w="120" w:type="dxa"/>
              <w:end w:w="120" w:type="dxa"/>
            </w:tcMar>
          </w:tcPr>
          <w:p>
            <w:r/>
            <w:r>
              <w:rPr>
                <w:b w:val="0"/>
                <w:sz w:val="18"/>
              </w:rPr>
              <w:t>µg/dL</w:t>
            </w:r>
          </w:p>
        </w:tc>
      </w:tr>
      <w:tr>
        <w:trPr>
          <w:cantSplit w:val="true"/>
        </w:trPr>
        <w:tc>
          <w:tcPr>
            <w:tcW w:type="dxa" w:w="2041"/>
            <w:tcMar>
              <w:top w:w="80" w:type="dxa"/>
              <w:bottom w:w="80" w:type="dxa"/>
              <w:start w:w="120" w:type="dxa"/>
              <w:end w:w="120" w:type="dxa"/>
            </w:tcMar>
            <w:shd w:val="clear" w:color="auto" w:fill="FAF6EF"/>
          </w:tcPr>
          <w:p>
            <w:r/>
            <w:r>
              <w:rPr>
                <w:b w:val="0"/>
                <w:sz w:val="18"/>
              </w:rPr>
              <w:t>GLP-1</w:t>
            </w:r>
          </w:p>
        </w:tc>
        <w:tc>
          <w:tcPr>
            <w:tcW w:type="dxa" w:w="3175"/>
            <w:tcMar>
              <w:top w:w="80" w:type="dxa"/>
              <w:bottom w:w="80" w:type="dxa"/>
              <w:start w:w="120" w:type="dxa"/>
              <w:end w:w="120" w:type="dxa"/>
            </w:tcMar>
            <w:shd w:val="clear" w:color="auto" w:fill="FAF6EF"/>
          </w:tcPr>
          <w:p>
            <w:r/>
            <w:r>
              <w:rPr>
                <w:b w:val="0"/>
                <w:sz w:val="18"/>
              </w:rPr>
              <w:t>Sin rango de referencia (ver punto C-08)</w:t>
            </w:r>
          </w:p>
        </w:tc>
        <w:tc>
          <w:tcPr>
            <w:tcW w:type="dxa" w:w="1304"/>
            <w:tcMar>
              <w:top w:w="80" w:type="dxa"/>
              <w:bottom w:w="80" w:type="dxa"/>
              <w:start w:w="120" w:type="dxa"/>
              <w:end w:w="120" w:type="dxa"/>
            </w:tcMar>
            <w:shd w:val="clear" w:color="auto" w:fill="FAF6EF"/>
          </w:tcPr>
          <w:p>
            <w:r/>
            <w:r>
              <w:rPr>
                <w:b w:val="0"/>
                <w:sz w:val="18"/>
              </w:rPr>
              <w:t>—</w:t>
            </w:r>
          </w:p>
        </w:tc>
        <w:tc>
          <w:tcPr>
            <w:tcW w:type="dxa" w:w="1304"/>
            <w:tcMar>
              <w:top w:w="80" w:type="dxa"/>
              <w:bottom w:w="80" w:type="dxa"/>
              <w:start w:w="120" w:type="dxa"/>
              <w:end w:w="120" w:type="dxa"/>
            </w:tcMar>
            <w:shd w:val="clear" w:color="auto" w:fill="FAF6EF"/>
          </w:tcPr>
          <w:p>
            <w:r/>
            <w:r>
              <w:rPr>
                <w:b w:val="0"/>
                <w:sz w:val="18"/>
              </w:rPr>
              <w:t>—</w:t>
            </w:r>
          </w:p>
        </w:tc>
        <w:tc>
          <w:tcPr>
            <w:tcW w:type="dxa" w:w="1191"/>
            <w:tcMar>
              <w:top w:w="80" w:type="dxa"/>
              <w:bottom w:w="80" w:type="dxa"/>
              <w:start w:w="120" w:type="dxa"/>
              <w:end w:w="120" w:type="dxa"/>
            </w:tcMar>
            <w:shd w:val="clear" w:color="auto" w:fill="FAF6EF"/>
          </w:tcPr>
          <w:p>
            <w:r/>
            <w:r>
              <w:rPr>
                <w:b w:val="0"/>
                <w:sz w:val="18"/>
              </w:rPr>
              <w:t>pmol/L</w:t>
            </w:r>
          </w:p>
        </w:tc>
      </w:tr>
    </w:tbl>
    <w:p>
      <w:pPr>
        <w:spacing w:after="40"/>
      </w:pPr>
    </w:p>
    <w:p>
      <w:pPr>
        <w:spacing w:after="80"/>
      </w:pPr>
      <w:r>
        <w:rPr>
          <w:b w:val="0"/>
        </w:rPr>
        <w:t xml:space="preserve">El límite inferior del estradiol en las fases bajas se fija en 25 pg/mL (umbral de detección del inmunoensayo). En esta primera versión solo se maneja la testosterona </w:t>
      </w:r>
      <w:r>
        <w:rPr>
          <w:b/>
        </w:rPr>
        <w:t>total</w:t>
      </w:r>
      <w:r>
        <w:rPr>
          <w:b w:val="0"/>
        </w:rPr>
        <w:t xml:space="preserve"> (la libre y la biodisponible quedan para más adelante).</w:t>
      </w:r>
    </w:p>
    <w:p>
      <w:pPr>
        <w:spacing w:after="80"/>
      </w:pPr>
      <w:r>
        <w:rPr>
          <w:b/>
          <w:color w:val="8A6F5E"/>
          <w:sz w:val="18"/>
        </w:rPr>
        <w:t xml:space="preserve">En qué se basa: </w:t>
      </w:r>
      <w:r>
        <w:rPr>
          <w:color w:val="8A6F5E"/>
          <w:sz w:val="18"/>
        </w:rPr>
        <w:t>Catálogo de pruebas de Mayo Clinic Laboratories (estradiol, progesterona, LH, FSH, testosterona, cortisol), 2025.</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w:t>
            </w:r>
            <w:r>
              <w:rPr>
                <w:b/>
                <w:sz w:val="21"/>
              </w:rPr>
              <w:t>Confirma cada uno de estos rangos</w:t>
            </w:r>
            <w:r>
              <w:rPr>
                <w:b w:val="0"/>
                <w:sz w:val="21"/>
              </w:rPr>
              <w:t>, o prefiere anotar los de su laboratorio de referencia? Si hay alguna hormona o fase cuyo rango le parezca inadecuado para pacientes con endometriosis (o para pacientes en tratamiento hormonal), indíquelo junto con el valor que propone.</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C-07  </w:t>
      </w:r>
      <w:r>
        <w:t>Unidades de medida aceptadas y conversiones entre ellas</w:t>
      </w:r>
    </w:p>
    <w:p>
      <w:pPr>
        <w:spacing w:after="40"/>
      </w:pPr>
      <w:r>
        <w:rPr>
          <w:i/>
          <w:color w:val="8A6F5E"/>
          <w:sz w:val="18"/>
        </w:rPr>
        <w:t>Carga de análisis  ·  Gráfico hormonal</w:t>
      </w:r>
    </w:p>
    <w:p>
      <w:pPr>
        <w:keepNext/>
        <w:spacing w:before="160" w:after="40"/>
      </w:pPr>
      <w:r>
        <w:rPr>
          <w:b/>
          <w:color w:val="C25A36"/>
          <w:sz w:val="18"/>
        </w:rPr>
        <w:t>¿PARA QUÉ SE USA EN LA APP?</w:t>
      </w:r>
    </w:p>
    <w:p>
      <w:pPr>
        <w:spacing w:after="80"/>
      </w:pPr>
      <w:r>
        <w:rPr>
          <w:b w:val="0"/>
        </w:rPr>
        <w:t>Los informes de laboratorio expresan las hormonas en unidades distintas según el país y el laboratorio (por ejemplo, estradiol en pg/mL o en pmol/L). Para que el gráfico sea comparable, la aplicación convierte cada valor a una unidad única por hormona, y guarda también el valor y la unidad originales tal como venían.</w:t>
      </w:r>
    </w:p>
    <w:p>
      <w:pPr>
        <w:spacing w:after="80"/>
      </w:pPr>
      <w:r>
        <w:rPr>
          <w:b w:val="0"/>
        </w:rPr>
        <w:t>Si la aplicación no reconoce una unidad, guarda el valor igualmente, lo marca como «unidad no reconocida» y simplemente no lo usa en los cálculos.</w:t>
      </w:r>
    </w:p>
    <w:p>
      <w:pPr>
        <w:spacing w:after="80"/>
      </w:pPr>
      <w:r>
        <w:rPr>
          <w:b w:val="0"/>
        </w:rPr>
        <w:t>Estado actual: pendiente de construir; se incorporará cuando usted lo valide.</w:t>
      </w:r>
    </w:p>
    <w:p>
      <w:pPr>
        <w:keepNext/>
        <w:spacing w:before="160" w:after="40"/>
      </w:pPr>
      <w:r>
        <w:rPr>
          <w:b/>
          <w:color w:val="C25A36"/>
          <w:sz w:val="18"/>
        </w:rPr>
        <w:t>DECISIÓN PROVISIONAL DE CAROLINA (RESPONSABLE DEL PRODUCTO)</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3211"/>
        <w:gridCol w:w="3211"/>
        <w:gridCol w:w="3211"/>
      </w:tblGrid>
      <w:tr>
        <w:trPr>
          <w:tblHeader w:val="true"/>
          <w:cantSplit w:val="true"/>
        </w:trPr>
        <w:tc>
          <w:tcPr>
            <w:tcW w:type="dxa" w:w="1814"/>
            <w:shd w:val="clear" w:color="auto" w:fill="F3D9CC"/>
            <w:tcMar>
              <w:top w:w="80" w:type="dxa"/>
              <w:bottom w:w="80" w:type="dxa"/>
              <w:start w:w="120" w:type="dxa"/>
              <w:end w:w="120" w:type="dxa"/>
            </w:tcMar>
          </w:tcPr>
          <w:p>
            <w:pPr>
              <w:keepNext/>
            </w:pPr>
            <w:r/>
            <w:r>
              <w:rPr>
                <w:b/>
                <w:sz w:val="19"/>
              </w:rPr>
              <w:t>Hormona</w:t>
            </w:r>
          </w:p>
        </w:tc>
        <w:tc>
          <w:tcPr>
            <w:tcW w:type="dxa" w:w="2438"/>
            <w:shd w:val="clear" w:color="auto" w:fill="F3D9CC"/>
            <w:tcMar>
              <w:top w:w="80" w:type="dxa"/>
              <w:bottom w:w="80" w:type="dxa"/>
              <w:start w:w="120" w:type="dxa"/>
              <w:end w:w="120" w:type="dxa"/>
            </w:tcMar>
          </w:tcPr>
          <w:p>
            <w:pPr>
              <w:keepNext/>
            </w:pPr>
            <w:r/>
            <w:r>
              <w:rPr>
                <w:b/>
                <w:sz w:val="19"/>
              </w:rPr>
              <w:t>Unidad en la que se guarda</w:t>
            </w:r>
          </w:p>
        </w:tc>
        <w:tc>
          <w:tcPr>
            <w:tcW w:type="dxa" w:w="5102"/>
            <w:shd w:val="clear" w:color="auto" w:fill="F3D9CC"/>
            <w:tcMar>
              <w:top w:w="80" w:type="dxa"/>
              <w:bottom w:w="80" w:type="dxa"/>
              <w:start w:w="120" w:type="dxa"/>
              <w:end w:w="120" w:type="dxa"/>
            </w:tcMar>
          </w:tcPr>
          <w:p>
            <w:pPr>
              <w:keepNext/>
            </w:pPr>
            <w:r/>
            <w:r>
              <w:rPr>
                <w:b/>
                <w:sz w:val="19"/>
              </w:rPr>
              <w:t>Otras unidades que se aceptan y cómo se convierten</w:t>
            </w:r>
          </w:p>
        </w:tc>
      </w:tr>
      <w:tr>
        <w:trPr>
          <w:cantSplit w:val="true"/>
        </w:trPr>
        <w:tc>
          <w:tcPr>
            <w:tcW w:type="dxa" w:w="1814"/>
            <w:tcMar>
              <w:top w:w="80" w:type="dxa"/>
              <w:bottom w:w="80" w:type="dxa"/>
              <w:start w:w="120" w:type="dxa"/>
              <w:end w:w="120" w:type="dxa"/>
            </w:tcMar>
          </w:tcPr>
          <w:p>
            <w:pPr>
              <w:keepNext/>
            </w:pPr>
            <w:r/>
            <w:r>
              <w:rPr>
                <w:b w:val="0"/>
                <w:sz w:val="19"/>
              </w:rPr>
              <w:t>Estradiol</w:t>
            </w:r>
          </w:p>
        </w:tc>
        <w:tc>
          <w:tcPr>
            <w:tcW w:type="dxa" w:w="2438"/>
            <w:tcMar>
              <w:top w:w="80" w:type="dxa"/>
              <w:bottom w:w="80" w:type="dxa"/>
              <w:start w:w="120" w:type="dxa"/>
              <w:end w:w="120" w:type="dxa"/>
            </w:tcMar>
          </w:tcPr>
          <w:p>
            <w:pPr>
              <w:keepNext/>
            </w:pPr>
            <w:r/>
            <w:r>
              <w:rPr>
                <w:b w:val="0"/>
                <w:sz w:val="19"/>
              </w:rPr>
              <w:t>pg/mL</w:t>
            </w:r>
          </w:p>
        </w:tc>
        <w:tc>
          <w:tcPr>
            <w:tcW w:type="dxa" w:w="5102"/>
            <w:tcMar>
              <w:top w:w="80" w:type="dxa"/>
              <w:bottom w:w="80" w:type="dxa"/>
              <w:start w:w="120" w:type="dxa"/>
              <w:end w:w="120" w:type="dxa"/>
            </w:tcMar>
          </w:tcPr>
          <w:p>
            <w:pPr>
              <w:keepNext/>
            </w:pPr>
            <w:r/>
            <w:r>
              <w:rPr>
                <w:b w:val="0"/>
                <w:sz w:val="19"/>
              </w:rPr>
              <w:t>pmol/L × 0,2724; ng/L × 1</w:t>
            </w:r>
          </w:p>
        </w:tc>
      </w:tr>
      <w:tr>
        <w:trPr>
          <w:cantSplit w:val="true"/>
        </w:trPr>
        <w:tc>
          <w:tcPr>
            <w:tcW w:type="dxa" w:w="1814"/>
            <w:tcMar>
              <w:top w:w="80" w:type="dxa"/>
              <w:bottom w:w="80" w:type="dxa"/>
              <w:start w:w="120" w:type="dxa"/>
              <w:end w:w="120" w:type="dxa"/>
            </w:tcMar>
            <w:shd w:val="clear" w:color="auto" w:fill="FAF6EF"/>
          </w:tcPr>
          <w:p>
            <w:pPr>
              <w:keepNext/>
            </w:pPr>
            <w:r/>
            <w:r>
              <w:rPr>
                <w:b w:val="0"/>
                <w:sz w:val="19"/>
              </w:rPr>
              <w:t>Progesterona</w:t>
            </w:r>
          </w:p>
        </w:tc>
        <w:tc>
          <w:tcPr>
            <w:tcW w:type="dxa" w:w="2438"/>
            <w:tcMar>
              <w:top w:w="80" w:type="dxa"/>
              <w:bottom w:w="80" w:type="dxa"/>
              <w:start w:w="120" w:type="dxa"/>
              <w:end w:w="120" w:type="dxa"/>
            </w:tcMar>
            <w:shd w:val="clear" w:color="auto" w:fill="FAF6EF"/>
          </w:tcPr>
          <w:p>
            <w:pPr>
              <w:keepNext/>
            </w:pPr>
            <w:r/>
            <w:r>
              <w:rPr>
                <w:b w:val="0"/>
                <w:sz w:val="19"/>
              </w:rPr>
              <w:t>ng/mL</w:t>
            </w:r>
          </w:p>
        </w:tc>
        <w:tc>
          <w:tcPr>
            <w:tcW w:type="dxa" w:w="5102"/>
            <w:tcMar>
              <w:top w:w="80" w:type="dxa"/>
              <w:bottom w:w="80" w:type="dxa"/>
              <w:start w:w="120" w:type="dxa"/>
              <w:end w:w="120" w:type="dxa"/>
            </w:tcMar>
            <w:shd w:val="clear" w:color="auto" w:fill="FAF6EF"/>
          </w:tcPr>
          <w:p>
            <w:pPr>
              <w:keepNext/>
            </w:pPr>
            <w:r/>
            <w:r>
              <w:rPr>
                <w:b w:val="0"/>
                <w:sz w:val="19"/>
              </w:rPr>
              <w:t>nmol/L × 0,3145; µg/L × 1</w:t>
            </w:r>
          </w:p>
        </w:tc>
      </w:tr>
      <w:tr>
        <w:trPr>
          <w:cantSplit w:val="true"/>
        </w:trPr>
        <w:tc>
          <w:tcPr>
            <w:tcW w:type="dxa" w:w="1814"/>
            <w:tcMar>
              <w:top w:w="80" w:type="dxa"/>
              <w:bottom w:w="80" w:type="dxa"/>
              <w:start w:w="120" w:type="dxa"/>
              <w:end w:w="120" w:type="dxa"/>
            </w:tcMar>
          </w:tcPr>
          <w:p>
            <w:pPr>
              <w:keepNext/>
            </w:pPr>
            <w:r/>
            <w:r>
              <w:rPr>
                <w:b w:val="0"/>
                <w:sz w:val="19"/>
              </w:rPr>
              <w:t>LH</w:t>
            </w:r>
          </w:p>
        </w:tc>
        <w:tc>
          <w:tcPr>
            <w:tcW w:type="dxa" w:w="2438"/>
            <w:tcMar>
              <w:top w:w="80" w:type="dxa"/>
              <w:bottom w:w="80" w:type="dxa"/>
              <w:start w:w="120" w:type="dxa"/>
              <w:end w:w="120" w:type="dxa"/>
            </w:tcMar>
          </w:tcPr>
          <w:p>
            <w:pPr>
              <w:keepNext/>
            </w:pPr>
            <w:r/>
            <w:r>
              <w:rPr>
                <w:b w:val="0"/>
                <w:sz w:val="19"/>
              </w:rPr>
              <w:t>UI/L</w:t>
            </w:r>
          </w:p>
        </w:tc>
        <w:tc>
          <w:tcPr>
            <w:tcW w:type="dxa" w:w="5102"/>
            <w:tcMar>
              <w:top w:w="80" w:type="dxa"/>
              <w:bottom w:w="80" w:type="dxa"/>
              <w:start w:w="120" w:type="dxa"/>
              <w:end w:w="120" w:type="dxa"/>
            </w:tcMar>
          </w:tcPr>
          <w:p>
            <w:pPr>
              <w:keepNext/>
            </w:pPr>
            <w:r/>
            <w:r>
              <w:rPr>
                <w:b w:val="0"/>
                <w:sz w:val="19"/>
              </w:rPr>
              <w:t>mUI/mL × 1 (son equivalentes)</w:t>
            </w:r>
          </w:p>
        </w:tc>
      </w:tr>
      <w:tr>
        <w:trPr>
          <w:cantSplit w:val="true"/>
        </w:trPr>
        <w:tc>
          <w:tcPr>
            <w:tcW w:type="dxa" w:w="1814"/>
            <w:tcMar>
              <w:top w:w="80" w:type="dxa"/>
              <w:bottom w:w="80" w:type="dxa"/>
              <w:start w:w="120" w:type="dxa"/>
              <w:end w:w="120" w:type="dxa"/>
            </w:tcMar>
            <w:shd w:val="clear" w:color="auto" w:fill="FAF6EF"/>
          </w:tcPr>
          <w:p>
            <w:pPr>
              <w:keepNext/>
            </w:pPr>
            <w:r/>
            <w:r>
              <w:rPr>
                <w:b w:val="0"/>
                <w:sz w:val="19"/>
              </w:rPr>
              <w:t>FSH</w:t>
            </w:r>
          </w:p>
        </w:tc>
        <w:tc>
          <w:tcPr>
            <w:tcW w:type="dxa" w:w="2438"/>
            <w:tcMar>
              <w:top w:w="80" w:type="dxa"/>
              <w:bottom w:w="80" w:type="dxa"/>
              <w:start w:w="120" w:type="dxa"/>
              <w:end w:w="120" w:type="dxa"/>
            </w:tcMar>
            <w:shd w:val="clear" w:color="auto" w:fill="FAF6EF"/>
          </w:tcPr>
          <w:p>
            <w:pPr>
              <w:keepNext/>
            </w:pPr>
            <w:r/>
            <w:r>
              <w:rPr>
                <w:b w:val="0"/>
                <w:sz w:val="19"/>
              </w:rPr>
              <w:t>UI/L</w:t>
            </w:r>
          </w:p>
        </w:tc>
        <w:tc>
          <w:tcPr>
            <w:tcW w:type="dxa" w:w="5102"/>
            <w:tcMar>
              <w:top w:w="80" w:type="dxa"/>
              <w:bottom w:w="80" w:type="dxa"/>
              <w:start w:w="120" w:type="dxa"/>
              <w:end w:w="120" w:type="dxa"/>
            </w:tcMar>
            <w:shd w:val="clear" w:color="auto" w:fill="FAF6EF"/>
          </w:tcPr>
          <w:p>
            <w:pPr>
              <w:keepNext/>
            </w:pPr>
            <w:r/>
            <w:r>
              <w:rPr>
                <w:b w:val="0"/>
                <w:sz w:val="19"/>
              </w:rPr>
              <w:t>mUI/mL × 1 (son equivalentes)</w:t>
            </w:r>
          </w:p>
        </w:tc>
      </w:tr>
      <w:tr>
        <w:trPr>
          <w:cantSplit w:val="true"/>
        </w:trPr>
        <w:tc>
          <w:tcPr>
            <w:tcW w:type="dxa" w:w="1814"/>
            <w:tcMar>
              <w:top w:w="80" w:type="dxa"/>
              <w:bottom w:w="80" w:type="dxa"/>
              <w:start w:w="120" w:type="dxa"/>
              <w:end w:w="120" w:type="dxa"/>
            </w:tcMar>
          </w:tcPr>
          <w:p>
            <w:pPr>
              <w:keepNext/>
            </w:pPr>
            <w:r/>
            <w:r>
              <w:rPr>
                <w:b w:val="0"/>
                <w:sz w:val="19"/>
              </w:rPr>
              <w:t>Testosterona</w:t>
            </w:r>
          </w:p>
        </w:tc>
        <w:tc>
          <w:tcPr>
            <w:tcW w:type="dxa" w:w="2438"/>
            <w:tcMar>
              <w:top w:w="80" w:type="dxa"/>
              <w:bottom w:w="80" w:type="dxa"/>
              <w:start w:w="120" w:type="dxa"/>
              <w:end w:w="120" w:type="dxa"/>
            </w:tcMar>
          </w:tcPr>
          <w:p>
            <w:pPr>
              <w:keepNext/>
            </w:pPr>
            <w:r/>
            <w:r>
              <w:rPr>
                <w:b w:val="0"/>
                <w:sz w:val="19"/>
              </w:rPr>
              <w:t>ng/dL</w:t>
            </w:r>
          </w:p>
        </w:tc>
        <w:tc>
          <w:tcPr>
            <w:tcW w:type="dxa" w:w="5102"/>
            <w:tcMar>
              <w:top w:w="80" w:type="dxa"/>
              <w:bottom w:w="80" w:type="dxa"/>
              <w:start w:w="120" w:type="dxa"/>
              <w:end w:w="120" w:type="dxa"/>
            </w:tcMar>
          </w:tcPr>
          <w:p>
            <w:pPr>
              <w:keepNext/>
            </w:pPr>
            <w:r/>
            <w:r>
              <w:rPr>
                <w:b w:val="0"/>
                <w:sz w:val="19"/>
              </w:rPr>
              <w:t>nmol/L × 28,84; ng/mL × 100</w:t>
            </w:r>
          </w:p>
        </w:tc>
      </w:tr>
      <w:tr>
        <w:trPr>
          <w:cantSplit w:val="true"/>
        </w:trPr>
        <w:tc>
          <w:tcPr>
            <w:tcW w:type="dxa" w:w="1814"/>
            <w:tcMar>
              <w:top w:w="80" w:type="dxa"/>
              <w:bottom w:w="80" w:type="dxa"/>
              <w:start w:w="120" w:type="dxa"/>
              <w:end w:w="120" w:type="dxa"/>
            </w:tcMar>
            <w:shd w:val="clear" w:color="auto" w:fill="FAF6EF"/>
          </w:tcPr>
          <w:p>
            <w:pPr>
              <w:keepNext/>
            </w:pPr>
            <w:r/>
            <w:r>
              <w:rPr>
                <w:b w:val="0"/>
                <w:sz w:val="19"/>
              </w:rPr>
              <w:t>Cortisol</w:t>
            </w:r>
          </w:p>
        </w:tc>
        <w:tc>
          <w:tcPr>
            <w:tcW w:type="dxa" w:w="2438"/>
            <w:tcMar>
              <w:top w:w="80" w:type="dxa"/>
              <w:bottom w:w="80" w:type="dxa"/>
              <w:start w:w="120" w:type="dxa"/>
              <w:end w:w="120" w:type="dxa"/>
            </w:tcMar>
            <w:shd w:val="clear" w:color="auto" w:fill="FAF6EF"/>
          </w:tcPr>
          <w:p>
            <w:pPr>
              <w:keepNext/>
            </w:pPr>
            <w:r/>
            <w:r>
              <w:rPr>
                <w:b w:val="0"/>
                <w:sz w:val="19"/>
              </w:rPr>
              <w:t>µg/dL</w:t>
            </w:r>
          </w:p>
        </w:tc>
        <w:tc>
          <w:tcPr>
            <w:tcW w:type="dxa" w:w="5102"/>
            <w:tcMar>
              <w:top w:w="80" w:type="dxa"/>
              <w:bottom w:w="80" w:type="dxa"/>
              <w:start w:w="120" w:type="dxa"/>
              <w:end w:w="120" w:type="dxa"/>
            </w:tcMar>
            <w:shd w:val="clear" w:color="auto" w:fill="FAF6EF"/>
          </w:tcPr>
          <w:p>
            <w:pPr>
              <w:keepNext/>
            </w:pPr>
            <w:r/>
            <w:r>
              <w:rPr>
                <w:b w:val="0"/>
                <w:sz w:val="19"/>
              </w:rPr>
              <w:t>nmol/L × 0,03625</w:t>
            </w:r>
          </w:p>
        </w:tc>
      </w:tr>
      <w:tr>
        <w:trPr>
          <w:cantSplit w:val="true"/>
        </w:trPr>
        <w:tc>
          <w:tcPr>
            <w:tcW w:type="dxa" w:w="1814"/>
            <w:tcMar>
              <w:top w:w="80" w:type="dxa"/>
              <w:bottom w:w="80" w:type="dxa"/>
              <w:start w:w="120" w:type="dxa"/>
              <w:end w:w="120" w:type="dxa"/>
            </w:tcMar>
          </w:tcPr>
          <w:p>
            <w:r/>
            <w:r>
              <w:rPr>
                <w:b w:val="0"/>
                <w:sz w:val="19"/>
              </w:rPr>
              <w:t>GLP-1</w:t>
            </w:r>
          </w:p>
        </w:tc>
        <w:tc>
          <w:tcPr>
            <w:tcW w:type="dxa" w:w="2438"/>
            <w:tcMar>
              <w:top w:w="80" w:type="dxa"/>
              <w:bottom w:w="80" w:type="dxa"/>
              <w:start w:w="120" w:type="dxa"/>
              <w:end w:w="120" w:type="dxa"/>
            </w:tcMar>
          </w:tcPr>
          <w:p>
            <w:r/>
            <w:r>
              <w:rPr>
                <w:b w:val="0"/>
                <w:sz w:val="19"/>
              </w:rPr>
              <w:t>pmol/L</w:t>
            </w:r>
          </w:p>
        </w:tc>
        <w:tc>
          <w:tcPr>
            <w:tcW w:type="dxa" w:w="5102"/>
            <w:tcMar>
              <w:top w:w="80" w:type="dxa"/>
              <w:bottom w:w="80" w:type="dxa"/>
              <w:start w:w="120" w:type="dxa"/>
              <w:end w:w="120" w:type="dxa"/>
            </w:tcMar>
          </w:tcPr>
          <w:p>
            <w:r/>
            <w:r>
              <w:rPr>
                <w:b w:val="0"/>
                <w:sz w:val="19"/>
              </w:rPr>
              <w:t>pg/mL × 0,3032</w:t>
            </w:r>
          </w:p>
        </w:tc>
      </w:tr>
    </w:tbl>
    <w:p>
      <w:pPr>
        <w:spacing w:after="40"/>
      </w:pPr>
    </w:p>
    <w:p>
      <w:pPr>
        <w:spacing w:after="80"/>
      </w:pPr>
      <w:r>
        <w:rPr>
          <w:b w:val="0"/>
        </w:rPr>
        <w:t>Los factores se derivan del peso molecular de cada hormona (para LH y FSH, de la unidad internacional de la OMS). Se aceptan escrituras alternativas habituales («mcg», «ug», mayúsculas/minúsculas).</w:t>
      </w:r>
    </w:p>
    <w:p>
      <w:pPr>
        <w:spacing w:after="80"/>
      </w:pPr>
      <w:r>
        <w:rPr>
          <w:b/>
          <w:color w:val="8A6F5E"/>
          <w:sz w:val="18"/>
        </w:rPr>
        <w:t xml:space="preserve">En qué se basa: </w:t>
      </w:r>
      <w:r>
        <w:rPr>
          <w:color w:val="8A6F5E"/>
          <w:sz w:val="18"/>
        </w:rPr>
        <w:t>AMA Manual of Style, 11.ª ed., §18; pesos moleculares de PubChem; estándares internacionales de la OMS para LH y FSH.</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¿Son estas las </w:t>
            </w:r>
            <w:r>
              <w:rPr>
                <w:b/>
                <w:sz w:val="21"/>
              </w:rPr>
              <w:t>unidades que ve habitualmente</w:t>
            </w:r>
            <w:r>
              <w:rPr>
                <w:b w:val="0"/>
                <w:sz w:val="21"/>
              </w:rPr>
              <w:t xml:space="preserve"> en los informes de sus pacientes? ¿</w:t>
            </w:r>
            <w:r>
              <w:rPr>
                <w:b/>
                <w:sz w:val="21"/>
              </w:rPr>
              <w:t>Falta alguna unidad</w:t>
            </w:r>
            <w:r>
              <w:rPr>
                <w:b w:val="0"/>
                <w:sz w:val="21"/>
              </w:rPr>
              <w:t xml:space="preserve"> de uso frecuente en su país, o detecta algún </w:t>
            </w:r>
            <w:r>
              <w:rPr>
                <w:b/>
                <w:sz w:val="21"/>
              </w:rPr>
              <w:t>factor de conversión incorrecto</w:t>
            </w:r>
            <w:r>
              <w:rPr>
                <w:b w:val="0"/>
                <w:sz w:val="21"/>
              </w:rPr>
              <w:t>?</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C-08  </w:t>
      </w:r>
      <w:r>
        <w:t>Qué hacer con el GLP-1</w:t>
      </w:r>
    </w:p>
    <w:p>
      <w:pPr>
        <w:spacing w:after="40"/>
      </w:pPr>
      <w:r>
        <w:rPr>
          <w:i/>
          <w:color w:val="8A6F5E"/>
          <w:sz w:val="18"/>
        </w:rPr>
        <w:t>Gráfico hormonal  ·  Registro de medicación</w:t>
      </w:r>
    </w:p>
    <w:p>
      <w:pPr>
        <w:keepNext/>
        <w:spacing w:before="160" w:after="40"/>
      </w:pPr>
      <w:r>
        <w:rPr>
          <w:b/>
          <w:color w:val="C25A36"/>
          <w:sz w:val="18"/>
        </w:rPr>
        <w:t>¿PARA QUÉ SE USA EN LA APP?</w:t>
      </w:r>
    </w:p>
    <w:p>
      <w:pPr>
        <w:spacing w:after="80"/>
      </w:pPr>
      <w:r>
        <w:rPr>
          <w:b w:val="0"/>
        </w:rPr>
        <w:t>El diseño original de la aplicación contemplaba el GLP-1 (una hormona intestinal) entre las hormonas que se pueden registrar. La pregunta es si debe tratarse como las demás —con rango de referencia, marca de alto/bajo y participación en los cálculos— o no.</w:t>
      </w:r>
    </w:p>
    <w:p>
      <w:pPr>
        <w:spacing w:after="80"/>
      </w:pPr>
      <w:r>
        <w:rPr>
          <w:b w:val="0"/>
        </w:rPr>
        <w:t>Estado actual: la paciente ya puede marcar el GLP-1 entre las hormonas que quiere seguir; el gráfico hormonal aún no está construido, así que la decisión se aplicará entonces.</w:t>
      </w:r>
    </w:p>
    <w:p>
      <w:pPr>
        <w:keepNext/>
        <w:spacing w:before="160" w:after="40"/>
      </w:pPr>
      <w:r>
        <w:rPr>
          <w:b/>
          <w:color w:val="C25A36"/>
          <w:sz w:val="18"/>
        </w:rPr>
        <w:t>DECISIÓN PROVISIONAL DE CAROLINA (RESPONSABLE DEL PRODUCTO)</w:t>
      </w:r>
    </w:p>
    <w:p>
      <w:pPr>
        <w:pStyle w:val="ListBullet"/>
        <w:spacing w:after="60"/>
      </w:pPr>
      <w:r>
        <w:rPr>
          <w:b/>
        </w:rPr>
        <w:t>Posponer</w:t>
      </w:r>
      <w:r>
        <w:rPr>
          <w:b w:val="0"/>
        </w:rPr>
        <w:t xml:space="preserve"> el GLP-1 como hormona con rango de referencia: no forma parte de los paneles habituales, no existe un rango de referencia validado, la extracción requiere condiciones especiales y no tiene una interpretación establecida en endometriosis.</w:t>
      </w:r>
    </w:p>
    <w:p>
      <w:pPr>
        <w:pStyle w:val="ListBullet"/>
        <w:spacing w:after="60"/>
      </w:pPr>
      <w:r>
        <w:rPr>
          <w:b w:val="0"/>
        </w:rPr>
        <w:t xml:space="preserve">Si una paciente lo anota de todos modos, la aplicación </w:t>
      </w:r>
      <w:r>
        <w:rPr>
          <w:b/>
        </w:rPr>
        <w:t>muestra el valor tal cual</w:t>
      </w:r>
      <w:r>
        <w:rPr>
          <w:b w:val="0"/>
        </w:rPr>
        <w:t>, con la nota «sin rango de referencia estandarizado», sin marcarlo como alto o bajo y sin usarlo en ningún cálculo. Si alguna vez se guarda, la unidad será pmol/L (forma activa/intacta).</w:t>
      </w:r>
    </w:p>
    <w:p>
      <w:pPr>
        <w:pStyle w:val="ListBullet"/>
        <w:spacing w:after="60"/>
      </w:pPr>
      <w:r>
        <w:rPr>
          <w:b w:val="0"/>
        </w:rPr>
        <w:t xml:space="preserve">Los </w:t>
      </w:r>
      <w:r>
        <w:rPr>
          <w:b/>
        </w:rPr>
        <w:t>medicamentos</w:t>
      </w:r>
      <w:r>
        <w:rPr>
          <w:b w:val="0"/>
        </w:rPr>
        <w:t xml:space="preserve"> agonistas de GLP-1 (semaglutida, liraglutida, etc.) se registran en el apartado de medicación (punto C-13), no en el gráfico hormonal.</w:t>
      </w:r>
    </w:p>
    <w:p>
      <w:pPr>
        <w:pStyle w:val="ListBullet"/>
        <w:spacing w:after="60"/>
      </w:pPr>
      <w:r>
        <w:rPr>
          <w:b w:val="0"/>
        </w:rPr>
        <w:t xml:space="preserve">Se reconsiderará solo si un clínico define un uso concreto en endometriosis </w:t>
      </w:r>
      <w:r>
        <w:rPr>
          <w:b/>
        </w:rPr>
        <w:t>y</w:t>
      </w:r>
      <w:r>
        <w:rPr>
          <w:b w:val="0"/>
        </w:rPr>
        <w:t xml:space="preserve"> un laboratorio de referencia publica un método estandarizado con rango validado.</w:t>
      </w:r>
    </w:p>
    <w:p>
      <w:pPr>
        <w:spacing w:after="80"/>
      </w:pPr>
      <w:r>
        <w:rPr>
          <w:b/>
          <w:color w:val="8A6F5E"/>
          <w:sz w:val="18"/>
        </w:rPr>
        <w:t xml:space="preserve">En qué se basa: </w:t>
      </w:r>
      <w:r>
        <w:rPr>
          <w:color w:val="8A6F5E"/>
          <w:sz w:val="18"/>
        </w:rPr>
        <w:t>Bak et al. (Diabetes, Obesity and Metabolism, 2014); clasificación ATC/DDD de la OMS (A10BJ); ausencia de una prueba de GLP-1 solicitable en Mayo, LabCorp o Quest.</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¿Está de acuerdo en dejar el GLP-1 </w:t>
            </w:r>
            <w:r>
              <w:rPr>
                <w:b/>
                <w:sz w:val="21"/>
              </w:rPr>
              <w:t>solo como dato informativo, sin rango</w:t>
            </w:r>
            <w:r>
              <w:rPr>
                <w:b w:val="0"/>
                <w:sz w:val="21"/>
              </w:rPr>
              <w:t>? ¿Conoce algún uso clínico del GLP-1 endógeno en endometriosis que justifique tratarlo de otra manera?</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1"/>
      </w:pPr>
      <w:r>
        <w:t>Bloque C · Lo que la aplicación calcula y muestra a partir de los datos</w:t>
      </w:r>
    </w:p>
    <w:p>
      <w:pPr>
        <w:spacing w:after="160"/>
      </w:pPr>
      <w:r>
        <w:rPr>
          <w:b w:val="0"/>
          <w:color w:val="8A6F5E"/>
          <w:sz w:val="21"/>
        </w:rPr>
        <w:t>Estos tres puntos definen el indicador de «datos suficientes», las tarjetas que animan a completar información y los «hallazgos» (patrones) que la aplicación muestra a la paciente y en el informe para el médico. Los puntos C-09 y C-11 los revisará además un bioestadístico; si la parte estadística escapa a su ámbito, céntrese en el contenido clínico.</w:t>
      </w:r>
    </w:p>
    <w:p>
      <w:pPr>
        <w:pStyle w:val="Heading2"/>
      </w:pPr>
      <w:r>
        <w:rPr>
          <w:color w:val="C25A36"/>
        </w:rPr>
        <w:t xml:space="preserve">C-09  </w:t>
      </w:r>
      <w:r>
        <w:t>El indicador de «cuán completos están sus datos» (0 a 100)</w:t>
      </w:r>
    </w:p>
    <w:p>
      <w:pPr>
        <w:spacing w:after="40"/>
      </w:pPr>
      <w:r>
        <w:rPr>
          <w:i/>
          <w:color w:val="8A6F5E"/>
          <w:sz w:val="18"/>
        </w:rPr>
        <w:t>Pantalla de inicio  ·  Pantalla que explica la confianza  ·  Informes  ·  Revisa también un bioestadístico</w:t>
      </w:r>
    </w:p>
    <w:p>
      <w:pPr>
        <w:keepNext/>
        <w:spacing w:before="160" w:after="40"/>
      </w:pPr>
      <w:r>
        <w:rPr>
          <w:b/>
          <w:color w:val="C25A36"/>
          <w:sz w:val="18"/>
        </w:rPr>
        <w:t>¿PARA QUÉ SE USA EN LA APP?</w:t>
      </w:r>
    </w:p>
    <w:p>
      <w:pPr>
        <w:spacing w:after="80"/>
      </w:pPr>
      <w:r>
        <w:rPr>
          <w:b w:val="0"/>
        </w:rPr>
        <w:t xml:space="preserve">La aplicación muestra a la paciente un número de 0 a 100 que expresa </w:t>
      </w:r>
      <w:r>
        <w:rPr>
          <w:b/>
        </w:rPr>
        <w:t>cuántos datos tiene</w:t>
      </w:r>
      <w:r>
        <w:rPr>
          <w:b w:val="0"/>
        </w:rPr>
        <w:t xml:space="preserve"> para poder orientarla. No es una probabilidad ni una medida clínica: es una forma de decirle «con esto que has anotado, puedo afinar más o menos». Aparece en la pantalla de inicio, en la pantalla que explica la confianza de las predicciones y en los informes.</w:t>
      </w:r>
    </w:p>
    <w:p>
      <w:pPr>
        <w:spacing w:after="80"/>
      </w:pPr>
      <w:r>
        <w:rPr>
          <w:b w:val="0"/>
        </w:rPr>
        <w:t>Por debajo de cierto nivel, la aplicación deja de indicar una fase concreta y muestra solo un rango.</w:t>
      </w:r>
    </w:p>
    <w:p>
      <w:pPr>
        <w:spacing w:after="80"/>
      </w:pPr>
      <w:r>
        <w:rPr>
          <w:b w:val="0"/>
        </w:rPr>
        <w:t>Estado actual: pendiente de construir.</w:t>
      </w:r>
    </w:p>
    <w:p>
      <w:pPr>
        <w:keepNext/>
        <w:spacing w:before="160" w:after="40"/>
      </w:pPr>
      <w:r>
        <w:rPr>
          <w:b/>
          <w:color w:val="C25A36"/>
          <w:sz w:val="18"/>
        </w:rPr>
        <w:t>DECISIÓN PROVISIONAL DE CAROLINA (RESPONSABLE DEL PRODUCTO)</w:t>
      </w:r>
    </w:p>
    <w:p>
      <w:pPr>
        <w:spacing w:after="80"/>
      </w:pPr>
      <w:r>
        <w:rPr>
          <w:b w:val="0"/>
        </w:rPr>
        <w:t>Suma de cuatro componentes, cada uno con un máximo:</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3211"/>
        <w:gridCol w:w="3211"/>
        <w:gridCol w:w="3211"/>
      </w:tblGrid>
      <w:tr>
        <w:trPr>
          <w:tblHeader w:val="true"/>
          <w:cantSplit w:val="true"/>
        </w:trPr>
        <w:tc>
          <w:tcPr>
            <w:tcW w:type="dxa" w:w="3288"/>
            <w:shd w:val="clear" w:color="auto" w:fill="F3D9CC"/>
            <w:tcMar>
              <w:top w:w="80" w:type="dxa"/>
              <w:bottom w:w="80" w:type="dxa"/>
              <w:start w:w="120" w:type="dxa"/>
              <w:end w:w="120" w:type="dxa"/>
            </w:tcMar>
          </w:tcPr>
          <w:p>
            <w:pPr>
              <w:keepNext/>
            </w:pPr>
            <w:r/>
            <w:r>
              <w:rPr>
                <w:b/>
                <w:sz w:val="19"/>
              </w:rPr>
              <w:t>Componente</w:t>
            </w:r>
          </w:p>
        </w:tc>
        <w:tc>
          <w:tcPr>
            <w:tcW w:type="dxa" w:w="1474"/>
            <w:shd w:val="clear" w:color="auto" w:fill="F3D9CC"/>
            <w:tcMar>
              <w:top w:w="80" w:type="dxa"/>
              <w:bottom w:w="80" w:type="dxa"/>
              <w:start w:w="120" w:type="dxa"/>
              <w:end w:w="120" w:type="dxa"/>
            </w:tcMar>
          </w:tcPr>
          <w:p>
            <w:pPr>
              <w:keepNext/>
            </w:pPr>
            <w:r/>
            <w:r>
              <w:rPr>
                <w:b/>
                <w:sz w:val="19"/>
              </w:rPr>
              <w:t>Puntos máximos</w:t>
            </w:r>
          </w:p>
        </w:tc>
        <w:tc>
          <w:tcPr>
            <w:tcW w:type="dxa" w:w="4592"/>
            <w:shd w:val="clear" w:color="auto" w:fill="F3D9CC"/>
            <w:tcMar>
              <w:top w:w="80" w:type="dxa"/>
              <w:bottom w:w="80" w:type="dxa"/>
              <w:start w:w="120" w:type="dxa"/>
              <w:end w:w="120" w:type="dxa"/>
            </w:tcMar>
          </w:tcPr>
          <w:p>
            <w:pPr>
              <w:keepNext/>
            </w:pPr>
            <w:r/>
            <w:r>
              <w:rPr>
                <w:b/>
                <w:sz w:val="19"/>
              </w:rPr>
              <w:t>Cómo se reparten</w:t>
            </w:r>
          </w:p>
        </w:tc>
      </w:tr>
      <w:tr>
        <w:trPr>
          <w:cantSplit w:val="true"/>
        </w:trPr>
        <w:tc>
          <w:tcPr>
            <w:tcW w:type="dxa" w:w="3288"/>
            <w:tcMar>
              <w:top w:w="80" w:type="dxa"/>
              <w:bottom w:w="80" w:type="dxa"/>
              <w:start w:w="120" w:type="dxa"/>
              <w:end w:w="120" w:type="dxa"/>
            </w:tcMar>
          </w:tcPr>
          <w:p>
            <w:pPr>
              <w:keepNext/>
            </w:pPr>
            <w:r/>
            <w:r>
              <w:rPr>
                <w:b w:val="0"/>
                <w:sz w:val="19"/>
              </w:rPr>
              <w:t>Análisis hormonales en las cuatro fases</w:t>
            </w:r>
          </w:p>
        </w:tc>
        <w:tc>
          <w:tcPr>
            <w:tcW w:type="dxa" w:w="1474"/>
            <w:tcMar>
              <w:top w:w="80" w:type="dxa"/>
              <w:bottom w:w="80" w:type="dxa"/>
              <w:start w:w="120" w:type="dxa"/>
              <w:end w:w="120" w:type="dxa"/>
            </w:tcMar>
          </w:tcPr>
          <w:p>
            <w:pPr>
              <w:keepNext/>
            </w:pPr>
            <w:r/>
            <w:r>
              <w:rPr>
                <w:b w:val="0"/>
                <w:sz w:val="19"/>
              </w:rPr>
              <w:t>40</w:t>
            </w:r>
          </w:p>
        </w:tc>
        <w:tc>
          <w:tcPr>
            <w:tcW w:type="dxa" w:w="4592"/>
            <w:tcMar>
              <w:top w:w="80" w:type="dxa"/>
              <w:bottom w:w="80" w:type="dxa"/>
              <w:start w:w="120" w:type="dxa"/>
              <w:end w:w="120" w:type="dxa"/>
            </w:tcMar>
          </w:tcPr>
          <w:p>
            <w:pPr>
              <w:keepNext/>
            </w:pPr>
            <w:r/>
            <w:r>
              <w:rPr>
                <w:b w:val="0"/>
                <w:sz w:val="19"/>
              </w:rPr>
              <w:t>10 puntos por cada fase que tenga al menos un análisis confirmado</w:t>
            </w:r>
          </w:p>
        </w:tc>
      </w:tr>
      <w:tr>
        <w:trPr>
          <w:cantSplit w:val="true"/>
        </w:trPr>
        <w:tc>
          <w:tcPr>
            <w:tcW w:type="dxa" w:w="3288"/>
            <w:tcMar>
              <w:top w:w="80" w:type="dxa"/>
              <w:bottom w:w="80" w:type="dxa"/>
              <w:start w:w="120" w:type="dxa"/>
              <w:end w:w="120" w:type="dxa"/>
            </w:tcMar>
            <w:shd w:val="clear" w:color="auto" w:fill="FAF6EF"/>
          </w:tcPr>
          <w:p>
            <w:pPr>
              <w:keepNext/>
            </w:pPr>
            <w:r/>
            <w:r>
              <w:rPr>
                <w:b w:val="0"/>
                <w:sz w:val="19"/>
              </w:rPr>
              <w:t>Historial de ciclos completos</w:t>
            </w:r>
          </w:p>
        </w:tc>
        <w:tc>
          <w:tcPr>
            <w:tcW w:type="dxa" w:w="1474"/>
            <w:tcMar>
              <w:top w:w="80" w:type="dxa"/>
              <w:bottom w:w="80" w:type="dxa"/>
              <w:start w:w="120" w:type="dxa"/>
              <w:end w:w="120" w:type="dxa"/>
            </w:tcMar>
            <w:shd w:val="clear" w:color="auto" w:fill="FAF6EF"/>
          </w:tcPr>
          <w:p>
            <w:pPr>
              <w:keepNext/>
            </w:pPr>
            <w:r/>
            <w:r>
              <w:rPr>
                <w:b w:val="0"/>
                <w:sz w:val="19"/>
              </w:rPr>
              <w:t>30</w:t>
            </w:r>
          </w:p>
        </w:tc>
        <w:tc>
          <w:tcPr>
            <w:tcW w:type="dxa" w:w="4592"/>
            <w:tcMar>
              <w:top w:w="80" w:type="dxa"/>
              <w:bottom w:w="80" w:type="dxa"/>
              <w:start w:w="120" w:type="dxa"/>
              <w:end w:w="120" w:type="dxa"/>
            </w:tcMar>
            <w:shd w:val="clear" w:color="auto" w:fill="FAF6EF"/>
          </w:tcPr>
          <w:p>
            <w:pPr>
              <w:keepNext/>
            </w:pPr>
            <w:r/>
            <w:r>
              <w:rPr>
                <w:b w:val="0"/>
                <w:sz w:val="19"/>
              </w:rPr>
              <w:t>0 / 8 / 15 / 22 / 26 / 28 / 30 puntos para 0, 1, 2, 3, 4, 5 y 6 o más ciclos</w:t>
            </w:r>
          </w:p>
        </w:tc>
      </w:tr>
      <w:tr>
        <w:trPr>
          <w:cantSplit w:val="true"/>
        </w:trPr>
        <w:tc>
          <w:tcPr>
            <w:tcW w:type="dxa" w:w="3288"/>
            <w:tcMar>
              <w:top w:w="80" w:type="dxa"/>
              <w:bottom w:w="80" w:type="dxa"/>
              <w:start w:w="120" w:type="dxa"/>
              <w:end w:w="120" w:type="dxa"/>
            </w:tcMar>
          </w:tcPr>
          <w:p>
            <w:pPr>
              <w:keepNext/>
            </w:pPr>
            <w:r/>
            <w:r>
              <w:rPr>
                <w:b w:val="0"/>
                <w:sz w:val="19"/>
              </w:rPr>
              <w:t>Registros diarios (últimos 28 días)</w:t>
            </w:r>
          </w:p>
        </w:tc>
        <w:tc>
          <w:tcPr>
            <w:tcW w:type="dxa" w:w="1474"/>
            <w:tcMar>
              <w:top w:w="80" w:type="dxa"/>
              <w:bottom w:w="80" w:type="dxa"/>
              <w:start w:w="120" w:type="dxa"/>
              <w:end w:w="120" w:type="dxa"/>
            </w:tcMar>
          </w:tcPr>
          <w:p>
            <w:pPr>
              <w:keepNext/>
            </w:pPr>
            <w:r/>
            <w:r>
              <w:rPr>
                <w:b w:val="0"/>
                <w:sz w:val="19"/>
              </w:rPr>
              <w:t>20</w:t>
            </w:r>
          </w:p>
        </w:tc>
        <w:tc>
          <w:tcPr>
            <w:tcW w:type="dxa" w:w="4592"/>
            <w:tcMar>
              <w:top w:w="80" w:type="dxa"/>
              <w:bottom w:w="80" w:type="dxa"/>
              <w:start w:w="120" w:type="dxa"/>
              <w:end w:w="120" w:type="dxa"/>
            </w:tcMar>
          </w:tcPr>
          <w:p>
            <w:pPr>
              <w:keepNext/>
            </w:pPr>
            <w:r/>
            <w:r>
              <w:rPr>
                <w:b w:val="0"/>
                <w:sz w:val="19"/>
              </w:rPr>
              <w:t>Proporcional al número de días con registro, hasta 28</w:t>
            </w:r>
          </w:p>
        </w:tc>
      </w:tr>
      <w:tr>
        <w:trPr>
          <w:cantSplit w:val="true"/>
        </w:trPr>
        <w:tc>
          <w:tcPr>
            <w:tcW w:type="dxa" w:w="3288"/>
            <w:tcMar>
              <w:top w:w="80" w:type="dxa"/>
              <w:bottom w:w="80" w:type="dxa"/>
              <w:start w:w="120" w:type="dxa"/>
              <w:end w:w="120" w:type="dxa"/>
            </w:tcMar>
            <w:shd w:val="clear" w:color="auto" w:fill="FAF6EF"/>
          </w:tcPr>
          <w:p>
            <w:r/>
            <w:r>
              <w:rPr>
                <w:b w:val="0"/>
                <w:sz w:val="19"/>
              </w:rPr>
              <w:t>Puntos marcados en el mapa corporal</w:t>
            </w:r>
          </w:p>
        </w:tc>
        <w:tc>
          <w:tcPr>
            <w:tcW w:type="dxa" w:w="1474"/>
            <w:tcMar>
              <w:top w:w="80" w:type="dxa"/>
              <w:bottom w:w="80" w:type="dxa"/>
              <w:start w:w="120" w:type="dxa"/>
              <w:end w:w="120" w:type="dxa"/>
            </w:tcMar>
            <w:shd w:val="clear" w:color="auto" w:fill="FAF6EF"/>
          </w:tcPr>
          <w:p>
            <w:r/>
            <w:r>
              <w:rPr>
                <w:b w:val="0"/>
                <w:sz w:val="19"/>
              </w:rPr>
              <w:t>10</w:t>
            </w:r>
          </w:p>
        </w:tc>
        <w:tc>
          <w:tcPr>
            <w:tcW w:type="dxa" w:w="4592"/>
            <w:tcMar>
              <w:top w:w="80" w:type="dxa"/>
              <w:bottom w:w="80" w:type="dxa"/>
              <w:start w:w="120" w:type="dxa"/>
              <w:end w:w="120" w:type="dxa"/>
            </w:tcMar>
            <w:shd w:val="clear" w:color="auto" w:fill="FAF6EF"/>
          </w:tcPr>
          <w:p>
            <w:r/>
            <w:r>
              <w:rPr>
                <w:b w:val="0"/>
                <w:sz w:val="19"/>
              </w:rPr>
              <w:t>2 puntos por cada punto marcado, hasta 5</w:t>
            </w:r>
          </w:p>
        </w:tc>
      </w:tr>
    </w:tbl>
    <w:p>
      <w:pPr>
        <w:spacing w:after="40"/>
      </w:pPr>
    </w:p>
    <w:p>
      <w:pPr>
        <w:pStyle w:val="ListBullet"/>
        <w:spacing w:after="60"/>
      </w:pPr>
      <w:r>
        <w:rPr>
          <w:b/>
        </w:rPr>
        <w:t>Tramos que ve la paciente:</w:t>
      </w:r>
      <w:r>
        <w:rPr>
          <w:b w:val="0"/>
        </w:rPr>
        <w:t xml:space="preserve"> Bajo 0–39 · Medio 40–69 · Alto 70–100.</w:t>
      </w:r>
    </w:p>
    <w:p>
      <w:pPr>
        <w:pStyle w:val="ListBullet"/>
        <w:spacing w:after="60"/>
      </w:pPr>
      <w:r>
        <w:rPr>
          <w:b w:val="0"/>
        </w:rPr>
        <w:t xml:space="preserve">Con </w:t>
      </w:r>
      <w:r>
        <w:rPr>
          <w:b/>
        </w:rPr>
        <w:t>menos de 20 puntos</w:t>
      </w:r>
      <w:r>
        <w:rPr>
          <w:b w:val="0"/>
        </w:rPr>
        <w:t xml:space="preserve"> no se muestra una fase concreta, solo un rango.</w:t>
      </w:r>
    </w:p>
    <w:p>
      <w:pPr>
        <w:pStyle w:val="ListBullet"/>
        <w:spacing w:after="60"/>
      </w:pPr>
      <w:r>
        <w:rPr>
          <w:b/>
        </w:rPr>
        <w:t>Pacientes con la menstruación suprimida:</w:t>
      </w:r>
      <w:r>
        <w:rPr>
          <w:b w:val="0"/>
        </w:rPr>
        <w:t xml:space="preserve"> se les perdona el componente de historial de ciclos (30 puntos) y el resto se reescala para que el máximo siga siendo 100.</w:t>
      </w:r>
    </w:p>
    <w:p>
      <w:pPr>
        <w:pStyle w:val="ListBullet"/>
        <w:spacing w:after="60"/>
      </w:pPr>
      <w:r>
        <w:rPr>
          <w:b w:val="0"/>
        </w:rPr>
        <w:t xml:space="preserve">Se llama «datos completos» a propósito, y no «confianza de la predicción», porque </w:t>
      </w:r>
      <w:r>
        <w:rPr>
          <w:b/>
        </w:rPr>
        <w:t>no</w:t>
      </w:r>
      <w:r>
        <w:rPr>
          <w:b w:val="0"/>
        </w:rPr>
        <w:t xml:space="preserve"> es un instrumento validado: los pesos son un criterio de producto informado por la literatura. No incluye la regularidad del ciclo (eso se trata aparte, en el punto C-05).</w:t>
      </w:r>
    </w:p>
    <w:p>
      <w:pPr>
        <w:spacing w:after="80"/>
      </w:pPr>
      <w:r>
        <w:rPr>
          <w:b/>
          <w:color w:val="8A6F5E"/>
          <w:sz w:val="18"/>
        </w:rPr>
        <w:t xml:space="preserve">En qué se basa: </w:t>
      </w:r>
      <w:r>
        <w:rPr>
          <w:color w:val="8A6F5E"/>
          <w:sz w:val="18"/>
        </w:rPr>
        <w:t>Clue (umbral de 3 ciclos para predecir); Bull et al., npj Digital Medicine 2019; Li et al., JAMIA 2022;29(1):3–11.</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¿Le parece razonable el </w:t>
            </w:r>
            <w:r>
              <w:rPr>
                <w:b/>
                <w:sz w:val="21"/>
              </w:rPr>
              <w:t>peso relativo</w:t>
            </w:r>
            <w:r>
              <w:rPr>
                <w:b w:val="0"/>
                <w:sz w:val="21"/>
              </w:rPr>
              <w:t xml:space="preserve"> de cada componente (40 / 30 / 20 / 10) y que </w:t>
            </w:r>
            <w:r>
              <w:rPr>
                <w:b/>
                <w:sz w:val="21"/>
              </w:rPr>
              <w:t>no se tenga en cuenta la regularidad</w:t>
            </w:r>
            <w:r>
              <w:rPr>
                <w:b w:val="0"/>
                <w:sz w:val="21"/>
              </w:rPr>
              <w:t xml:space="preserve"> del ciclo? Si cambiaría algún peso o algún tramo, indique cuál.</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C-10  </w:t>
      </w:r>
      <w:r>
        <w:t>Las tarjetas que animan a completar información</w:t>
      </w:r>
    </w:p>
    <w:p>
      <w:pPr>
        <w:spacing w:after="40"/>
      </w:pPr>
      <w:r>
        <w:rPr>
          <w:i/>
          <w:color w:val="8A6F5E"/>
          <w:sz w:val="18"/>
        </w:rPr>
        <w:t>Pantalla de inicio  ·  Pantalla que explica la confianza</w:t>
      </w:r>
    </w:p>
    <w:p>
      <w:pPr>
        <w:keepNext/>
        <w:spacing w:before="160" w:after="40"/>
      </w:pPr>
      <w:r>
        <w:rPr>
          <w:b/>
          <w:color w:val="C25A36"/>
          <w:sz w:val="18"/>
        </w:rPr>
        <w:t>¿PARA QUÉ SE USA EN LA APP?</w:t>
      </w:r>
    </w:p>
    <w:p>
      <w:pPr>
        <w:spacing w:after="80"/>
      </w:pPr>
      <w:r>
        <w:rPr>
          <w:b w:val="0"/>
        </w:rPr>
        <w:t>Cuando faltan datos, la pantalla de inicio muestra una tarjeta (solo una cada vez) que invita a la paciente a completar algo: hacer el registro diario, anotar más ciclos, usar el mapa corporal o añadir un análisis de una fase que falta. Cada tarjeta se puede posponer («quizás más tarde»: desaparece 7 días).</w:t>
      </w:r>
    </w:p>
    <w:p>
      <w:pPr>
        <w:spacing w:after="80"/>
      </w:pPr>
      <w:r>
        <w:rPr>
          <w:b w:val="0"/>
        </w:rPr>
        <w:t>Estado actual: pendiente de construir.</w:t>
      </w:r>
    </w:p>
    <w:p>
      <w:pPr>
        <w:keepNext/>
        <w:spacing w:before="160" w:after="40"/>
      </w:pPr>
      <w:r>
        <w:rPr>
          <w:b/>
          <w:color w:val="C25A36"/>
          <w:sz w:val="18"/>
        </w:rPr>
        <w:t>DECISIÓN PROVISIONAL DE CAROLINA (RESPONSABLE DEL PRODUCTO)</w:t>
      </w:r>
    </w:p>
    <w:p>
      <w:pPr>
        <w:spacing w:after="80"/>
      </w:pPr>
      <w:r>
        <w:rPr>
          <w:b w:val="0"/>
        </w:rPr>
        <w:t>Cuatro tarjetas, en este orden de prioridad (primero lo más básico y lo que menos esfuerzo cuesta):</w:t>
      </w:r>
    </w:p>
    <w:p>
      <w:pPr>
        <w:pStyle w:val="ListNumber"/>
        <w:numPr>
          <w:ilvl w:val="0"/>
          <w:numId w:val="12"/>
        </w:numPr>
        <w:spacing w:after="60"/>
      </w:pPr>
      <w:r>
        <w:rPr>
          <w:b/>
        </w:rPr>
        <w:t>«Prueba un registro diario»</w:t>
      </w:r>
      <w:r>
        <w:rPr>
          <w:b w:val="0"/>
        </w:rPr>
        <w:t xml:space="preserve"> — si hay menos de 3 registros en los últimos 14 días. Texto: «Un registro diario rápido —cómo te sientes, tu energía, cualquier síntoma— ayuda a Lumen a aprender tus patrones con el tiempo. Solo toma un momento.»</w:t>
      </w:r>
    </w:p>
    <w:p>
      <w:pPr>
        <w:pStyle w:val="ListNumber"/>
        <w:numPr>
          <w:ilvl w:val="0"/>
          <w:numId w:val="12"/>
        </w:numPr>
        <w:spacing w:after="60"/>
      </w:pPr>
      <w:r>
        <w:rPr>
          <w:b/>
        </w:rPr>
        <w:t>«Sigue anotando tus ciclos»</w:t>
      </w:r>
      <w:r>
        <w:rPr>
          <w:b w:val="0"/>
        </w:rPr>
        <w:t xml:space="preserve"> — si hay menos de 3 ciclos confirmados. Texto: «Cada ciclo es distinto. Anotar algunos ciclos ayuda a Lumen a aprender tu ritmo y a ajustar sus predicciones a ti.»</w:t>
      </w:r>
    </w:p>
    <w:p>
      <w:pPr>
        <w:pStyle w:val="ListNumber"/>
        <w:numPr>
          <w:ilvl w:val="0"/>
          <w:numId w:val="12"/>
        </w:numPr>
        <w:spacing w:after="60"/>
      </w:pPr>
      <w:r>
        <w:rPr>
          <w:b/>
        </w:rPr>
        <w:t>«Marca dónde lo sientes»</w:t>
      </w:r>
      <w:r>
        <w:rPr>
          <w:b w:val="0"/>
        </w:rPr>
        <w:t xml:space="preserve"> — si no hay ningún punto en el mapa corporal. Texto: «Marcar dónde aparecen los síntomas añade detalle a tu panorama y puede hacer más claros tus patrones e informes.»</w:t>
      </w:r>
    </w:p>
    <w:p>
      <w:pPr>
        <w:pStyle w:val="ListNumber"/>
        <w:numPr>
          <w:ilvl w:val="0"/>
          <w:numId w:val="12"/>
        </w:numPr>
        <w:spacing w:after="60"/>
      </w:pPr>
      <w:r>
        <w:rPr>
          <w:b/>
        </w:rPr>
        <w:t>«Afina tu panorama hormonal»</w:t>
      </w:r>
      <w:r>
        <w:rPr>
          <w:b w:val="0"/>
        </w:rPr>
        <w:t xml:space="preserve"> — si faltan fases con análisis. Texto: «Lumen aprende tus hormonas fase por fase. Añadir un estudio de cada fase ayuda a que tus predicciones sean más precisas.»</w:t>
      </w:r>
    </w:p>
    <w:p>
      <w:pPr>
        <w:pStyle w:val="ListBullet"/>
        <w:spacing w:after="60"/>
      </w:pPr>
      <w:r>
        <w:rPr>
          <w:b w:val="0"/>
        </w:rPr>
        <w:t xml:space="preserve">Redacción en lenguaje llano y alentadora; </w:t>
      </w:r>
      <w:r>
        <w:rPr>
          <w:b/>
        </w:rPr>
        <w:t>nunca presenta la irregularidad como un problema</w:t>
      </w:r>
      <w:r>
        <w:rPr>
          <w:b w:val="0"/>
        </w:rPr>
        <w:t xml:space="preserve"> ni hace afirmaciones sobre la salud.</w:t>
      </w:r>
    </w:p>
    <w:p>
      <w:pPr>
        <w:pStyle w:val="ListBullet"/>
        <w:spacing w:after="60"/>
      </w:pPr>
      <w:r>
        <w:rPr>
          <w:b w:val="0"/>
        </w:rPr>
        <w:t xml:space="preserve">Las tarjetas de ciclos y de análisis </w:t>
      </w:r>
      <w:r>
        <w:rPr>
          <w:b/>
        </w:rPr>
        <w:t>no se muestran</w:t>
      </w:r>
      <w:r>
        <w:rPr>
          <w:b w:val="0"/>
        </w:rPr>
        <w:t xml:space="preserve"> si el seguimiento del ciclo está en pausa (punto C-12) o si la paciente tiene anotado un medicamento que suprime la menstruación.</w:t>
      </w:r>
    </w:p>
    <w:tbl>
      <w:tblPr>
        <w:tblW w:type="auto" w:w="0"/>
        <w:jc w:val="center"/>
        <w:tblLayout w:type="fixed"/>
        <w:tblLook w:firstColumn="1" w:firstRow="1" w:lastColumn="0" w:lastRow="0" w:noHBand="0" w:noVBand="1" w:val="04A0"/>
        <w:tblBorders>
          <w:top w:val="single" w:sz="4" w:space="0" w:color="EEEDFE"/>
          <w:left w:val="single" w:sz="4" w:space="0" w:color="EEEDFE"/>
          <w:bottom w:val="single" w:sz="4" w:space="0" w:color="EEEDFE"/>
          <w:right w:val="single" w:sz="4" w:space="0" w:color="EEEDFE"/>
          <w:insideH w:val="single" w:sz="4" w:space="0" w:color="EEEDFE"/>
          <w:insideV w:val="single" w:sz="4" w:space="0" w:color="EEEDFE"/>
        </w:tblBorders>
      </w:tblPr>
      <w:tblGrid>
        <w:gridCol w:w="9632"/>
      </w:tblGrid>
      <w:tr>
        <w:trPr>
          <w:cantSplit w:val="true"/>
        </w:trPr>
        <w:tc>
          <w:tcPr>
            <w:tcW w:type="dxa" w:w="9354"/>
            <w:shd w:val="clear" w:color="auto" w:fill="EEEDFE"/>
            <w:tcMar>
              <w:top w:w="120" w:type="dxa"/>
              <w:bottom w:w="120" w:type="dxa"/>
              <w:start w:w="180" w:type="dxa"/>
              <w:end w:w="180" w:type="dxa"/>
            </w:tcMar>
          </w:tcPr>
          <w:p>
            <w:pPr>
              <w:spacing w:after="60"/>
            </w:pPr>
            <w:r/>
            <w:r>
              <w:rPr>
                <w:b/>
                <w:color w:val="8A6F5E"/>
                <w:sz w:val="18"/>
              </w:rPr>
              <w:t>NOTA</w:t>
            </w:r>
          </w:p>
          <w:p>
            <w:pPr>
              <w:spacing w:after="60"/>
            </w:pPr>
            <w:r>
              <w:rPr>
                <w:b w:val="0"/>
                <w:sz w:val="21"/>
              </w:rPr>
              <w:t>Los textos son una traducción del original en inglés; la redacción final de cada idioma se ajustará, pero el contenido y el tono son los que se someten a su revisión.</w:t>
            </w:r>
          </w:p>
        </w:tc>
      </w:tr>
    </w:tbl>
    <w:p>
      <w:pPr>
        <w:spacing w:after="40"/>
      </w:pPr>
    </w:p>
    <w:p>
      <w:pPr>
        <w:spacing w:after="80"/>
      </w:pPr>
      <w:r>
        <w:rPr>
          <w:b/>
          <w:color w:val="8A6F5E"/>
          <w:sz w:val="18"/>
        </w:rPr>
        <w:t xml:space="preserve">En qué se basa: </w:t>
      </w:r>
      <w:r>
        <w:rPr>
          <w:color w:val="8A6F5E"/>
          <w:sz w:val="18"/>
        </w:rPr>
        <w:t>Tono de los textos: CDC Clear Communication Index; estándar de contenidos del NHS. Los umbrales vienen de los puntos C-03 y C-09.</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¿Ve algún </w:t>
            </w:r>
            <w:r>
              <w:rPr>
                <w:b/>
                <w:sz w:val="21"/>
              </w:rPr>
              <w:t>riesgo clínico</w:t>
            </w:r>
            <w:r>
              <w:rPr>
                <w:b w:val="0"/>
                <w:sz w:val="21"/>
              </w:rPr>
              <w:t xml:space="preserve"> en estos mensajes (por ejemplo, que presionen a la paciente, que den a entender algo erróneo o que resulten inadecuados para alguien con la menstruación suprimida)? ¿Cambiaría el orden o la redacción de alguno?</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C-11  </w:t>
      </w:r>
      <w:r>
        <w:t>Los «hallazgos»: qué patrones se muestran, con qué mínimos y cómo se redactan</w:t>
      </w:r>
    </w:p>
    <w:p>
      <w:pPr>
        <w:spacing w:after="40"/>
      </w:pPr>
      <w:r>
        <w:rPr>
          <w:i/>
          <w:color w:val="8A6F5E"/>
          <w:sz w:val="18"/>
        </w:rPr>
        <w:t>Hallazgos  ·  Informe para el médico  ·  Seguridad  ·  Revisa también un bioestadístico</w:t>
      </w:r>
    </w:p>
    <w:p>
      <w:pPr>
        <w:keepNext/>
        <w:spacing w:before="160" w:after="40"/>
      </w:pPr>
      <w:r>
        <w:rPr>
          <w:b/>
          <w:color w:val="C25A36"/>
          <w:sz w:val="18"/>
        </w:rPr>
        <w:t>¿PARA QUÉ SE USA EN LA APP?</w:t>
      </w:r>
    </w:p>
    <w:p>
      <w:pPr>
        <w:spacing w:after="80"/>
      </w:pPr>
      <w:r>
        <w:rPr>
          <w:b w:val="0"/>
        </w:rPr>
        <w:t xml:space="preserve">En la sección «Hallazgos», la aplicación muestra a la paciente patrones de </w:t>
      </w:r>
      <w:r>
        <w:rPr>
          <w:b/>
        </w:rPr>
        <w:t>sus propios datos</w:t>
      </w:r>
      <w:r>
        <w:rPr>
          <w:b w:val="0"/>
        </w:rPr>
        <w:t>: en qué momento del ciclo suele ser peor el dolor, el dolor promedio por fase, la relación entre actividad física y dolor al día siguiente, y la relación entre ánimo bajo y fase del ciclo. Estos textos van también al informe para el médico. Siempre se presentan como asociaciones, nunca como causas.</w:t>
      </w:r>
    </w:p>
    <w:p>
      <w:pPr>
        <w:spacing w:after="80"/>
      </w:pPr>
      <w:r>
        <w:rPr>
          <w:b w:val="0"/>
        </w:rPr>
        <w:t>Estado actual: la escala de dolor de 0 a 10 y el vocabulario de síntomas ya existen en la aplicación; los hallazgos se construirán tras su validación.</w:t>
      </w:r>
    </w:p>
    <w:p>
      <w:pPr>
        <w:keepNext/>
        <w:spacing w:before="160" w:after="40"/>
      </w:pPr>
      <w:r>
        <w:rPr>
          <w:b/>
          <w:color w:val="C25A36"/>
          <w:sz w:val="18"/>
        </w:rPr>
        <w:t>DECISIÓN PROVISIONAL DE CAROLINA (RESPONSABLE DEL PRODUCTO)</w:t>
      </w:r>
    </w:p>
    <w:p>
      <w:pPr>
        <w:pStyle w:val="ListBullet"/>
        <w:spacing w:after="60"/>
      </w:pPr>
      <w:r>
        <w:rPr>
          <w:b/>
        </w:rPr>
        <w:t>Qué se entiende por «dolor»:</w:t>
      </w:r>
      <w:r>
        <w:rPr>
          <w:b w:val="0"/>
        </w:rPr>
        <w:t xml:space="preserve"> el valor </w:t>
      </w:r>
      <w:r>
        <w:rPr>
          <w:b/>
        </w:rPr>
        <w:t>máximo del día</w:t>
      </w:r>
      <w:r>
        <w:rPr>
          <w:b w:val="0"/>
        </w:rPr>
        <w:t xml:space="preserve">, en una escala de 0 a 10, entre los dolores propios de la endometriosis: dismenorrea, dolor pélvico no menstrual, dispareunia profunda y superficial, disquecia y dolor lumbar. </w:t>
      </w:r>
      <w:r>
        <w:rPr>
          <w:b/>
        </w:rPr>
        <w:t>No</w:t>
      </w:r>
      <w:r>
        <w:rPr>
          <w:b w:val="0"/>
        </w:rPr>
        <w:t xml:space="preserve"> se incluyen náuseas, fatiga, ánimo, hinchazón ni cefalea.</w:t>
      </w:r>
    </w:p>
    <w:p>
      <w:pPr>
        <w:pStyle w:val="ListBullet"/>
        <w:spacing w:after="60"/>
      </w:pPr>
      <w:r>
        <w:rPr>
          <w:b/>
        </w:rPr>
        <w:t>Mínimos para mostrar un hallazgo:</w:t>
      </w:r>
      <w:r>
        <w:rPr>
          <w:b w:val="0"/>
        </w:rPr>
        <w:t xml:space="preserve"> al menos 10 días con datos emparejados (preferiblemente 20) y una asociación de cierta magnitud (correlación de Spearman de 0,30 o más, que es un mínimo para filtrar ruido, no un umbral de relevancia clínica; o una diferencia de alrededor del 15 % entre grupos). </w:t>
      </w:r>
      <w:r>
        <w:rPr>
          <w:b/>
        </w:rPr>
        <w:t>Nunca se muestran valores p.</w:t>
      </w:r>
    </w:p>
    <w:p>
      <w:pPr>
        <w:pStyle w:val="ListBullet"/>
        <w:spacing w:after="60"/>
      </w:pPr>
      <w:r>
        <w:rPr>
          <w:b/>
        </w:rPr>
        <w:t>Redacción obligatoria no causal:</w:t>
      </w:r>
      <w:r>
        <w:rPr>
          <w:b w:val="0"/>
        </w:rPr>
        <w:t xml:space="preserve"> se permite «se asocia con», «se relaciona con», «tiende a»; se prohíbe «causa», «reduce», «mejora», «previene». Pie fijo en todos los hallazgos: «Patrones en tus propios datos: asociaciones, no consejo médico ni prueba de causa.»</w:t>
      </w:r>
    </w:p>
    <w:p>
      <w:pPr>
        <w:spacing w:after="80"/>
      </w:pPr>
      <w:r>
        <w:rPr>
          <w:b w:val="0"/>
        </w:rPr>
        <w:t>Los cuatro hallazgos previstos:</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3211"/>
        <w:gridCol w:w="3211"/>
        <w:gridCol w:w="3211"/>
      </w:tblGrid>
      <w:tr>
        <w:trPr>
          <w:tblHeader w:val="true"/>
          <w:cantSplit w:val="true"/>
        </w:trPr>
        <w:tc>
          <w:tcPr>
            <w:tcW w:type="dxa" w:w="1587"/>
            <w:shd w:val="clear" w:color="auto" w:fill="F3D9CC"/>
            <w:tcMar>
              <w:top w:w="80" w:type="dxa"/>
              <w:bottom w:w="80" w:type="dxa"/>
              <w:start w:w="120" w:type="dxa"/>
              <w:end w:w="120" w:type="dxa"/>
            </w:tcMar>
          </w:tcPr>
          <w:p>
            <w:pPr>
              <w:keepNext/>
            </w:pPr>
            <w:r/>
            <w:r>
              <w:rPr>
                <w:b/>
                <w:sz w:val="18"/>
              </w:rPr>
              <w:t>Hallazgo</w:t>
            </w:r>
          </w:p>
        </w:tc>
        <w:tc>
          <w:tcPr>
            <w:tcW w:type="dxa" w:w="5216"/>
            <w:shd w:val="clear" w:color="auto" w:fill="F3D9CC"/>
            <w:tcMar>
              <w:top w:w="80" w:type="dxa"/>
              <w:bottom w:w="80" w:type="dxa"/>
              <w:start w:w="120" w:type="dxa"/>
              <w:end w:w="120" w:type="dxa"/>
            </w:tcMar>
          </w:tcPr>
          <w:p>
            <w:pPr>
              <w:keepNext/>
            </w:pPr>
            <w:r/>
            <w:r>
              <w:rPr>
                <w:b/>
                <w:sz w:val="18"/>
              </w:rPr>
              <w:t>Qué muestra</w:t>
            </w:r>
          </w:p>
        </w:tc>
        <w:tc>
          <w:tcPr>
            <w:tcW w:type="dxa" w:w="2551"/>
            <w:shd w:val="clear" w:color="auto" w:fill="F3D9CC"/>
            <w:tcMar>
              <w:top w:w="80" w:type="dxa"/>
              <w:bottom w:w="80" w:type="dxa"/>
              <w:start w:w="120" w:type="dxa"/>
              <w:end w:w="120" w:type="dxa"/>
            </w:tcMar>
          </w:tcPr>
          <w:p>
            <w:pPr>
              <w:keepNext/>
            </w:pPr>
            <w:r/>
            <w:r>
              <w:rPr>
                <w:b/>
                <w:sz w:val="18"/>
              </w:rPr>
              <w:t>Mínimos</w:t>
            </w:r>
          </w:p>
        </w:tc>
      </w:tr>
      <w:tr>
        <w:trPr>
          <w:cantSplit w:val="true"/>
        </w:trPr>
        <w:tc>
          <w:tcPr>
            <w:tcW w:type="dxa" w:w="1587"/>
            <w:tcMar>
              <w:top w:w="80" w:type="dxa"/>
              <w:bottom w:w="80" w:type="dxa"/>
              <w:start w:w="120" w:type="dxa"/>
              <w:end w:w="120" w:type="dxa"/>
            </w:tcMar>
          </w:tcPr>
          <w:p>
            <w:pPr>
              <w:keepNext/>
            </w:pPr>
            <w:r/>
            <w:r>
              <w:rPr>
                <w:b w:val="0"/>
                <w:sz w:val="18"/>
              </w:rPr>
              <w:t>Pico de dolor</w:t>
            </w:r>
          </w:p>
        </w:tc>
        <w:tc>
          <w:tcPr>
            <w:tcW w:type="dxa" w:w="5216"/>
            <w:tcMar>
              <w:top w:w="80" w:type="dxa"/>
              <w:bottom w:w="80" w:type="dxa"/>
              <w:start w:w="120" w:type="dxa"/>
              <w:end w:w="120" w:type="dxa"/>
            </w:tcMar>
          </w:tcPr>
          <w:p>
            <w:pPr>
              <w:keepNext/>
            </w:pPr>
            <w:r/>
            <w:r>
              <w:rPr>
                <w:b w:val="0"/>
                <w:sz w:val="18"/>
              </w:rPr>
              <w:t>En qué día respecto al inicio de la menstruación suele alcanzar el máximo el dolor («En tus registros, el dolor ha tendido a alcanzar su punto máximo unos N días antes de tu periodo, en el X % de los ciclos»)</w:t>
            </w:r>
          </w:p>
        </w:tc>
        <w:tc>
          <w:tcPr>
            <w:tcW w:type="dxa" w:w="2551"/>
            <w:tcMar>
              <w:top w:w="80" w:type="dxa"/>
              <w:bottom w:w="80" w:type="dxa"/>
              <w:start w:w="120" w:type="dxa"/>
              <w:end w:w="120" w:type="dxa"/>
            </w:tcMar>
          </w:tcPr>
          <w:p>
            <w:pPr>
              <w:keepNext/>
            </w:pPr>
            <w:r/>
            <w:r>
              <w:rPr>
                <w:b w:val="0"/>
                <w:sz w:val="18"/>
              </w:rPr>
              <w:t>3 ciclos con dolor anotado; se repite en al menos el 60 % de ellos</w:t>
            </w:r>
          </w:p>
        </w:tc>
      </w:tr>
      <w:tr>
        <w:trPr>
          <w:cantSplit w:val="true"/>
        </w:trPr>
        <w:tc>
          <w:tcPr>
            <w:tcW w:type="dxa" w:w="1587"/>
            <w:tcMar>
              <w:top w:w="80" w:type="dxa"/>
              <w:bottom w:w="80" w:type="dxa"/>
              <w:start w:w="120" w:type="dxa"/>
              <w:end w:w="120" w:type="dxa"/>
            </w:tcMar>
            <w:shd w:val="clear" w:color="auto" w:fill="FAF6EF"/>
          </w:tcPr>
          <w:p>
            <w:pPr>
              <w:keepNext/>
            </w:pPr>
            <w:r/>
            <w:r>
              <w:rPr>
                <w:b w:val="0"/>
                <w:sz w:val="18"/>
              </w:rPr>
              <w:t>Dolor por fase</w:t>
            </w:r>
          </w:p>
        </w:tc>
        <w:tc>
          <w:tcPr>
            <w:tcW w:type="dxa" w:w="5216"/>
            <w:tcMar>
              <w:top w:w="80" w:type="dxa"/>
              <w:bottom w:w="80" w:type="dxa"/>
              <w:start w:w="120" w:type="dxa"/>
              <w:end w:w="120" w:type="dxa"/>
            </w:tcMar>
            <w:shd w:val="clear" w:color="auto" w:fill="FAF6EF"/>
          </w:tcPr>
          <w:p>
            <w:pPr>
              <w:keepNext/>
            </w:pPr>
            <w:r/>
            <w:r>
              <w:rPr>
                <w:b w:val="0"/>
                <w:sz w:val="18"/>
              </w:rPr>
              <w:t>Dolor promedio en cada fase del ciclo</w:t>
            </w:r>
          </w:p>
        </w:tc>
        <w:tc>
          <w:tcPr>
            <w:tcW w:type="dxa" w:w="2551"/>
            <w:tcMar>
              <w:top w:w="80" w:type="dxa"/>
              <w:bottom w:w="80" w:type="dxa"/>
              <w:start w:w="120" w:type="dxa"/>
              <w:end w:w="120" w:type="dxa"/>
            </w:tcMar>
            <w:shd w:val="clear" w:color="auto" w:fill="FAF6EF"/>
          </w:tcPr>
          <w:p>
            <w:pPr>
              <w:keepNext/>
            </w:pPr>
            <w:r/>
            <w:r>
              <w:rPr>
                <w:b w:val="0"/>
                <w:sz w:val="18"/>
              </w:rPr>
              <w:t>3 días con dolor en cada fase</w:t>
            </w:r>
          </w:p>
        </w:tc>
      </w:tr>
      <w:tr>
        <w:trPr>
          <w:cantSplit w:val="true"/>
        </w:trPr>
        <w:tc>
          <w:tcPr>
            <w:tcW w:type="dxa" w:w="1587"/>
            <w:tcMar>
              <w:top w:w="80" w:type="dxa"/>
              <w:bottom w:w="80" w:type="dxa"/>
              <w:start w:w="120" w:type="dxa"/>
              <w:end w:w="120" w:type="dxa"/>
            </w:tcMar>
          </w:tcPr>
          <w:p>
            <w:pPr>
              <w:keepNext/>
            </w:pPr>
            <w:r/>
            <w:r>
              <w:rPr>
                <w:b w:val="0"/>
                <w:sz w:val="18"/>
              </w:rPr>
              <w:t>Actividad y dolor</w:t>
            </w:r>
          </w:p>
        </w:tc>
        <w:tc>
          <w:tcPr>
            <w:tcW w:type="dxa" w:w="5216"/>
            <w:tcMar>
              <w:top w:w="80" w:type="dxa"/>
              <w:bottom w:w="80" w:type="dxa"/>
              <w:start w:w="120" w:type="dxa"/>
              <w:end w:w="120" w:type="dxa"/>
            </w:tcMar>
          </w:tcPr>
          <w:p>
            <w:pPr>
              <w:keepNext/>
            </w:pPr>
            <w:r/>
            <w:r>
              <w:rPr>
                <w:b w:val="0"/>
                <w:sz w:val="18"/>
              </w:rPr>
              <w:t>Compara el dolor del día siguiente tras días con 30 minutos o más de actividad, frente a días con menos (los 30 minutos son un umbral ilustrativo, no una «dosis»)</w:t>
            </w:r>
          </w:p>
        </w:tc>
        <w:tc>
          <w:tcPr>
            <w:tcW w:type="dxa" w:w="2551"/>
            <w:tcMar>
              <w:top w:w="80" w:type="dxa"/>
              <w:bottom w:w="80" w:type="dxa"/>
              <w:start w:w="120" w:type="dxa"/>
              <w:end w:w="120" w:type="dxa"/>
            </w:tcMar>
          </w:tcPr>
          <w:p>
            <w:pPr>
              <w:keepNext/>
            </w:pPr>
            <w:r/>
            <w:r>
              <w:rPr>
                <w:b w:val="0"/>
                <w:sz w:val="18"/>
              </w:rPr>
              <w:t>10 días; 5 en cada grupo</w:t>
            </w:r>
          </w:p>
        </w:tc>
      </w:tr>
      <w:tr>
        <w:trPr>
          <w:cantSplit w:val="true"/>
        </w:trPr>
        <w:tc>
          <w:tcPr>
            <w:tcW w:type="dxa" w:w="1587"/>
            <w:tcMar>
              <w:top w:w="80" w:type="dxa"/>
              <w:bottom w:w="80" w:type="dxa"/>
              <w:start w:w="120" w:type="dxa"/>
              <w:end w:w="120" w:type="dxa"/>
            </w:tcMar>
            <w:shd w:val="clear" w:color="auto" w:fill="FAF6EF"/>
          </w:tcPr>
          <w:p>
            <w:r/>
            <w:r>
              <w:rPr>
                <w:b w:val="0"/>
                <w:sz w:val="18"/>
              </w:rPr>
              <w:t>Ánimo y ciclo</w:t>
            </w:r>
          </w:p>
        </w:tc>
        <w:tc>
          <w:tcPr>
            <w:tcW w:type="dxa" w:w="5216"/>
            <w:tcMar>
              <w:top w:w="80" w:type="dxa"/>
              <w:bottom w:w="80" w:type="dxa"/>
              <w:start w:w="120" w:type="dxa"/>
              <w:end w:w="120" w:type="dxa"/>
            </w:tcMar>
            <w:shd w:val="clear" w:color="auto" w:fill="FAF6EF"/>
          </w:tcPr>
          <w:p>
            <w:r/>
            <w:r>
              <w:rPr>
                <w:b w:val="0"/>
                <w:sz w:val="18"/>
              </w:rPr>
              <w:t>Porcentaje de días con ánimo bajo en cada fase. Se eliminó el corte de «estradiol &lt; 120 pg/mL» que había en el diseño original. Solo para pacientes sin supresión. El mecanismo del estrógeno se explica en una pantalla aparte, no en el titular.</w:t>
            </w:r>
          </w:p>
        </w:tc>
        <w:tc>
          <w:tcPr>
            <w:tcW w:type="dxa" w:w="2551"/>
            <w:tcMar>
              <w:top w:w="80" w:type="dxa"/>
              <w:bottom w:w="80" w:type="dxa"/>
              <w:start w:w="120" w:type="dxa"/>
              <w:end w:w="120" w:type="dxa"/>
            </w:tcMar>
            <w:shd w:val="clear" w:color="auto" w:fill="FAF6EF"/>
          </w:tcPr>
          <w:p>
            <w:r/>
            <w:r>
              <w:rPr>
                <w:b w:val="0"/>
                <w:sz w:val="18"/>
              </w:rPr>
              <w:t>3 ciclos con ánimo anotado; 3 días válidos por fase</w:t>
            </w:r>
          </w:p>
        </w:tc>
      </w:tr>
    </w:tbl>
    <w:p>
      <w:pPr>
        <w:spacing w:after="40"/>
      </w:pPr>
    </w:p>
    <w:p>
      <w:pPr>
        <w:spacing w:after="80"/>
      </w:pPr>
      <w:r>
        <w:rPr>
          <w:b/>
          <w:color w:val="8A6F5E"/>
          <w:sz w:val="18"/>
        </w:rPr>
        <w:t xml:space="preserve">En qué se basa: </w:t>
      </w:r>
      <w:r>
        <w:rPr>
          <w:color w:val="8A6F5E"/>
          <w:sz w:val="18"/>
        </w:rPr>
        <w:t>Schober 2018 (uso de Spearman); Haber et al., AJE 2022, y FTC 2023 (límites al lenguaje causal); escalas de dolor ESHRE/ASRM; Schmidt, JAMA Psychiatry 2015 (caída del estrógeno, no nivel absoluto).</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¿Le parece correcta la </w:t>
            </w:r>
            <w:r>
              <w:rPr>
                <w:b/>
                <w:sz w:val="21"/>
              </w:rPr>
              <w:t>definición de «dolor»</w:t>
            </w:r>
            <w:r>
              <w:rPr>
                <w:b w:val="0"/>
                <w:sz w:val="21"/>
              </w:rPr>
              <w:t xml:space="preserve"> (máximo diario de los dolores propios de la endometriosis, excluyendo náuseas, fatiga, ánimo, hinchazón y cefalea)?</w:t>
            </w:r>
          </w:p>
          <w:p>
            <w:pPr>
              <w:keepNext/>
              <w:spacing w:after="60"/>
            </w:pPr>
            <w:r>
              <w:rPr>
                <w:b w:val="0"/>
                <w:sz w:val="21"/>
              </w:rPr>
              <w:t xml:space="preserve">¿La </w:t>
            </w:r>
            <w:r>
              <w:rPr>
                <w:b/>
                <w:sz w:val="21"/>
              </w:rPr>
              <w:t>redacción no causal</w:t>
            </w:r>
            <w:r>
              <w:rPr>
                <w:b w:val="0"/>
                <w:sz w:val="21"/>
              </w:rPr>
              <w:t xml:space="preserve"> le parece suficiente para que la paciente no saque conclusiones indebidas? ¿Ve algún riesgo en mostrar «ánimo y ciclo» sin mencionar el estrógeno en el titular?</w:t>
            </w:r>
          </w:p>
          <w:p>
            <w:pPr>
              <w:keepNext/>
              <w:spacing w:after="60"/>
            </w:pPr>
            <w:r>
              <w:rPr>
                <w:b w:val="0"/>
                <w:sz w:val="21"/>
              </w:rPr>
              <w:t>(Los mínimos estadísticos los revisará además un bioestadístico; si desea opinar sobre ellos, es bienvenido.)</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1"/>
      </w:pPr>
      <w:r>
        <w:t>Bloque D · Población, catálogos y seguridad</w:t>
      </w:r>
    </w:p>
    <w:p>
      <w:pPr>
        <w:spacing w:after="160"/>
      </w:pPr>
      <w:r>
        <w:rPr>
          <w:b w:val="0"/>
          <w:color w:val="8A6F5E"/>
          <w:sz w:val="21"/>
        </w:rPr>
        <w:t>Estos cinco puntos definen a quién va dirigida la aplicación y qué pasa cuando no hay menstruación, la lista de medicamentos, el vocabulario de estadios, cirugías y síntomas, y —el más importante— los avisos de seguridad ante síntomas de alarma, y el mapa corporal.</w:t>
      </w:r>
    </w:p>
    <w:p>
      <w:pPr>
        <w:pStyle w:val="Heading2"/>
      </w:pPr>
      <w:r>
        <w:rPr>
          <w:color w:val="C25A36"/>
        </w:rPr>
        <w:t xml:space="preserve">C-12  </w:t>
      </w:r>
      <w:r>
        <w:t>A quién va dirigida la aplicación, y qué pasa cuando no hay menstruación</w:t>
      </w:r>
    </w:p>
    <w:p>
      <w:pPr>
        <w:spacing w:after="40"/>
      </w:pPr>
      <w:r>
        <w:rPr>
          <w:i/>
          <w:color w:val="8A6F5E"/>
          <w:sz w:val="18"/>
        </w:rPr>
        <w:t>Creación de la cuenta  ·  Ajustes del ciclo  ·  Calendario del ciclo  ·  Ampliación de Carolina</w:t>
      </w:r>
    </w:p>
    <w:p>
      <w:pPr>
        <w:keepNext/>
        <w:spacing w:before="160" w:after="40"/>
      </w:pPr>
      <w:r>
        <w:rPr>
          <w:b/>
          <w:color w:val="C25A36"/>
          <w:sz w:val="18"/>
        </w:rPr>
        <w:t>¿PARA QUÉ SE USA EN LA APP?</w:t>
      </w:r>
    </w:p>
    <w:p>
      <w:pPr>
        <w:spacing w:after="80"/>
      </w:pPr>
      <w:r>
        <w:rPr>
          <w:b w:val="0"/>
        </w:rPr>
        <w:t xml:space="preserve">Al crear la cuenta, la aplicación pregunta por la última menstruación. Pero muchas pacientes con endometriosis no menstrúan: por el tratamiento (dienogest, DIU hormonal, análogos), por un embarazo, por una cirugía o por la menopausia. Para ellas hay un camino alternativo al crear la cuenta y un botón de </w:t>
      </w:r>
      <w:r>
        <w:rPr>
          <w:b/>
        </w:rPr>
        <w:t>«pausar el seguimiento del ciclo»</w:t>
      </w:r>
      <w:r>
        <w:rPr>
          <w:b w:val="0"/>
        </w:rPr>
        <w:t>, visible en los ajustes del ciclo y en el calendario.</w:t>
      </w:r>
    </w:p>
    <w:p>
      <w:pPr>
        <w:spacing w:after="80"/>
      </w:pPr>
      <w:r>
        <w:rPr>
          <w:b w:val="0"/>
        </w:rPr>
        <w:t>Mientras el seguimiento está en pausa, el calendario no muestra fases («fases no disponibles») y esos periodos no entran en ningún cálculo; la paciente puede seguir anotando todo lo demás.</w:t>
      </w:r>
    </w:p>
    <w:p>
      <w:pPr>
        <w:spacing w:after="80"/>
      </w:pPr>
      <w:r>
        <w:rPr>
          <w:b w:val="0"/>
        </w:rPr>
        <w:t xml:space="preserve">Estado actual: la pausa con estos cinco motivos y la reanudación libre </w:t>
      </w:r>
      <w:r>
        <w:rPr>
          <w:b/>
        </w:rPr>
        <w:t>ya están construidas</w:t>
      </w:r>
      <w:r>
        <w:rPr>
          <w:b w:val="0"/>
        </w:rPr>
        <w:t>; la regla de seguridad sobre el embarazo se aplicará al construir la interpretación hormonal, y el camino alternativo al crear la cuenta está previsto. Si usted pide cambios, se ajustará.</w:t>
      </w:r>
    </w:p>
    <w:p>
      <w:pPr>
        <w:keepNext/>
        <w:spacing w:before="160" w:after="40"/>
      </w:pPr>
      <w:r>
        <w:rPr>
          <w:b/>
          <w:color w:val="C25A36"/>
          <w:sz w:val="18"/>
        </w:rPr>
        <w:t>DECISIÓN PROVISIONAL DE CAROLINA (RESPONSABLE DEL PRODUCTO)</w:t>
      </w:r>
    </w:p>
    <w:p>
      <w:pPr>
        <w:pStyle w:val="ListBullet"/>
        <w:spacing w:after="60"/>
      </w:pPr>
      <w:r>
        <w:rPr>
          <w:b/>
        </w:rPr>
        <w:t>Población objetivo:</w:t>
      </w:r>
      <w:r>
        <w:rPr>
          <w:b w:val="0"/>
        </w:rPr>
        <w:t xml:space="preserve"> personas que menstrúan, en edad reproductiva. Es un </w:t>
      </w:r>
      <w:r>
        <w:rPr>
          <w:b/>
        </w:rPr>
        <w:t>objetivo de diseño</w:t>
      </w:r>
      <w:r>
        <w:rPr>
          <w:b w:val="0"/>
        </w:rPr>
        <w:t>, no un filtro de entrada: la aplicación no rechaza a nadie por edad (cualquier edad mínima es una decisión legal aparte), no hay límite superior de edad y el enfoque es inclusivo en cuanto al género.</w:t>
      </w:r>
    </w:p>
    <w:p>
      <w:pPr>
        <w:pStyle w:val="ListBullet"/>
        <w:spacing w:after="60"/>
      </w:pPr>
      <w:r>
        <w:rPr>
          <w:b/>
        </w:rPr>
        <w:t>Un único mecanismo de pausa</w:t>
      </w:r>
      <w:r>
        <w:rPr>
          <w:b w:val="0"/>
        </w:rPr>
        <w:t xml:space="preserve">, con un motivo a elegir: </w:t>
      </w:r>
      <w:r>
        <w:rPr>
          <w:b/>
        </w:rPr>
        <w:t>embarazo · supresión hormonal · cirugía · menopausia · otro</w:t>
      </w:r>
      <w:r>
        <w:rPr>
          <w:b w:val="0"/>
        </w:rPr>
        <w:t xml:space="preserve"> (esta lista de motivos es una ampliación propuesta por Carolina).</w:t>
      </w:r>
    </w:p>
    <w:p>
      <w:pPr>
        <w:pStyle w:val="ListBullet"/>
        <w:spacing w:after="60"/>
      </w:pPr>
      <w:r>
        <w:rPr>
          <w:b/>
        </w:rPr>
        <w:t>Reanudar</w:t>
      </w:r>
      <w:r>
        <w:rPr>
          <w:b w:val="0"/>
        </w:rPr>
        <w:t xml:space="preserve"> el seguimiento es siempre posible y lo decide la paciente, </w:t>
      </w:r>
      <w:r>
        <w:rPr>
          <w:b/>
        </w:rPr>
        <w:t>sea cual sea el motivo</w:t>
      </w:r>
      <w:r>
        <w:rPr>
          <w:b w:val="0"/>
        </w:rPr>
        <w:t xml:space="preserve"> (decisión de Carolina). Al reanudar, empieza un ciclo nuevo desde cero (no se «empalma» con el anterior).</w:t>
      </w:r>
    </w:p>
    <w:p>
      <w:pPr>
        <w:pStyle w:val="ListBullet"/>
        <w:spacing w:after="60"/>
      </w:pPr>
      <w:r>
        <w:rPr>
          <w:b w:val="0"/>
        </w:rPr>
        <w:t xml:space="preserve">La aplicación puede </w:t>
      </w:r>
      <w:r>
        <w:rPr>
          <w:b/>
        </w:rPr>
        <w:t>sugerir</w:t>
      </w:r>
      <w:r>
        <w:rPr>
          <w:b w:val="0"/>
        </w:rPr>
        <w:t xml:space="preserve"> la pausa (por ejemplo, si lleva mucho tiempo sin menstruación anotada), pero </w:t>
      </w:r>
      <w:r>
        <w:rPr>
          <w:b/>
        </w:rPr>
        <w:t>nunca la activa por su cuenta</w:t>
      </w:r>
      <w:r>
        <w:rPr>
          <w:b w:val="0"/>
        </w:rPr>
        <w:t>.</w:t>
      </w:r>
    </w:p>
    <w:p>
      <w:pPr>
        <w:pStyle w:val="ListBullet"/>
        <w:spacing w:after="60"/>
      </w:pPr>
      <w:r>
        <w:rPr>
          <w:b w:val="0"/>
        </w:rPr>
        <w:t>Durante la pausa se puede seguir anotando todo, incluido el manchado.</w:t>
      </w:r>
    </w:p>
    <w:p>
      <w:pPr>
        <w:pStyle w:val="ListBullet"/>
        <w:spacing w:after="60"/>
      </w:pPr>
      <w:r>
        <w:rPr>
          <w:b/>
        </w:rPr>
        <w:t>Regla de seguridad:</w:t>
      </w:r>
      <w:r>
        <w:rPr>
          <w:b w:val="0"/>
        </w:rPr>
        <w:t xml:space="preserve"> si el motivo es </w:t>
      </w:r>
      <w:r>
        <w:rPr>
          <w:b/>
        </w:rPr>
        <w:t>embarazo</w:t>
      </w:r>
      <w:r>
        <w:rPr>
          <w:b w:val="0"/>
        </w:rPr>
        <w:t xml:space="preserve">, la aplicación deja de interpretar los rangos hormonales por completo (los análisis se pueden seguir guardando); </w:t>
      </w:r>
      <w:r>
        <w:rPr>
          <w:b/>
        </w:rPr>
        <w:t>no</w:t>
      </w:r>
      <w:r>
        <w:rPr>
          <w:b w:val="0"/>
        </w:rPr>
        <w:t xml:space="preserve"> se sustituyen por rangos de no embarazada.</w:t>
      </w:r>
    </w:p>
    <w:p>
      <w:pPr>
        <w:spacing w:after="80"/>
      </w:pPr>
      <w:r>
        <w:rPr>
          <w:b/>
          <w:color w:val="8A6F5E"/>
          <w:sz w:val="18"/>
        </w:rPr>
        <w:t xml:space="preserve">En qué se basa: </w:t>
      </w:r>
      <w:r>
        <w:rPr>
          <w:color w:val="8A6F5E"/>
          <w:sz w:val="18"/>
        </w:rPr>
        <w:t>ESHRE 2022 y NICE NG73 (el tratamiento hormonal de primera línea suprime la ovulación y la menstruación); cohorte con dienogest ENVISIOeN (Reproductive Sciences 2022: amenorrea del 3,5 % al 70,8 % a los 24 meses); OMS / ACOG sobre menopausia.</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¿La </w:t>
            </w:r>
            <w:r>
              <w:rPr>
                <w:b/>
                <w:sz w:val="21"/>
              </w:rPr>
              <w:t>lista de motivos de pausa</w:t>
            </w:r>
            <w:r>
              <w:rPr>
                <w:b w:val="0"/>
                <w:sz w:val="21"/>
              </w:rPr>
              <w:t xml:space="preserve"> (embarazo, supresión hormonal, cirugía, menopausia, otro) es completa y correcta?</w:t>
            </w:r>
          </w:p>
          <w:p>
            <w:pPr>
              <w:keepNext/>
              <w:spacing w:after="60"/>
            </w:pPr>
            <w:r>
              <w:rPr>
                <w:b w:val="0"/>
                <w:sz w:val="21"/>
              </w:rPr>
              <w:t xml:space="preserve">¿Está de acuerdo con que la paciente pueda </w:t>
            </w:r>
            <w:r>
              <w:rPr>
                <w:b/>
                <w:sz w:val="21"/>
              </w:rPr>
              <w:t>reanudar el seguimiento en cualquier momento</w:t>
            </w:r>
            <w:r>
              <w:rPr>
                <w:b w:val="0"/>
                <w:sz w:val="21"/>
              </w:rPr>
              <w:t xml:space="preserve">, incluso tras una histerectomía o en la menopausia? ¿Y con </w:t>
            </w:r>
            <w:r>
              <w:rPr>
                <w:b/>
                <w:sz w:val="21"/>
              </w:rPr>
              <w:t>desactivar la interpretación hormonal durante el embarazo</w:t>
            </w:r>
            <w:r>
              <w:rPr>
                <w:b w:val="0"/>
                <w:sz w:val="21"/>
              </w:rPr>
              <w:t>?</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C-13  </w:t>
      </w:r>
      <w:r>
        <w:t>Lista inicial de medicamentos para endometriosis, con dosis orientativas</w:t>
      </w:r>
    </w:p>
    <w:p>
      <w:pPr>
        <w:spacing w:after="40"/>
      </w:pPr>
      <w:r>
        <w:rPr>
          <w:i/>
          <w:color w:val="8A6F5E"/>
          <w:sz w:val="18"/>
        </w:rPr>
        <w:t>Registro de medicación  ·  Seguridad  ·  Ampliación de Carolina</w:t>
      </w:r>
    </w:p>
    <w:p>
      <w:pPr>
        <w:keepNext/>
        <w:spacing w:before="160" w:after="40"/>
      </w:pPr>
      <w:r>
        <w:rPr>
          <w:b/>
          <w:color w:val="C25A36"/>
          <w:sz w:val="18"/>
        </w:rPr>
        <w:t>¿PARA QUÉ SE USA EN LA APP?</w:t>
      </w:r>
    </w:p>
    <w:p>
      <w:pPr>
        <w:spacing w:after="80"/>
      </w:pPr>
      <w:r>
        <w:rPr>
          <w:b w:val="0"/>
        </w:rPr>
        <w:t xml:space="preserve">En el registro de medicación, la paciente elige su tratamiento de una lista y anota cuándo lo toma. Siempre puede escribir «otro» a mano. La dosis que aparece junto a cada medicamento es </w:t>
      </w:r>
      <w:r>
        <w:rPr>
          <w:b/>
        </w:rPr>
        <w:t>orientativa</w:t>
      </w:r>
      <w:r>
        <w:rPr>
          <w:b w:val="0"/>
        </w:rPr>
        <w:t xml:space="preserve"> —sirve para reconocerlo y seleccionarlo más rápido— y </w:t>
      </w:r>
      <w:r>
        <w:rPr>
          <w:b/>
        </w:rPr>
        <w:t>nunca una recomendación</w:t>
      </w:r>
      <w:r>
        <w:rPr>
          <w:b w:val="0"/>
        </w:rPr>
        <w:t>.</w:t>
      </w:r>
    </w:p>
    <w:p>
      <w:pPr>
        <w:spacing w:after="80"/>
      </w:pPr>
      <w:r>
        <w:rPr>
          <w:b w:val="0"/>
        </w:rPr>
        <w:t>Algunos de estos medicamentos (los que suprimen la menstruación) además le indican a la aplicación que no debe esperar ciclos (puntos C-10 y C-12).</w:t>
      </w:r>
    </w:p>
    <w:p>
      <w:pPr>
        <w:spacing w:after="80"/>
      </w:pPr>
      <w:r>
        <w:rPr>
          <w:b w:val="0"/>
        </w:rPr>
        <w:t>Estado actual: pendiente de construir; la lista se incorporará cuando usted la valide.</w:t>
      </w:r>
    </w:p>
    <w:p>
      <w:pPr>
        <w:keepNext/>
        <w:spacing w:before="160" w:after="40"/>
      </w:pPr>
      <w:r>
        <w:rPr>
          <w:b/>
          <w:color w:val="C25A36"/>
          <w:sz w:val="18"/>
        </w:rPr>
        <w:t>DECISIÓN PROVISIONAL DE CAROLINA (RESPONSABLE DEL PRODUCTO)</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2408"/>
        <w:gridCol w:w="2408"/>
        <w:gridCol w:w="2408"/>
        <w:gridCol w:w="2408"/>
      </w:tblGrid>
      <w:tr>
        <w:trPr>
          <w:tblHeader w:val="true"/>
          <w:cantSplit w:val="true"/>
        </w:trPr>
        <w:tc>
          <w:tcPr>
            <w:tcW w:type="dxa" w:w="2608"/>
            <w:shd w:val="clear" w:color="auto" w:fill="F3D9CC"/>
            <w:tcMar>
              <w:top w:w="80" w:type="dxa"/>
              <w:bottom w:w="80" w:type="dxa"/>
              <w:start w:w="120" w:type="dxa"/>
              <w:end w:w="120" w:type="dxa"/>
            </w:tcMar>
          </w:tcPr>
          <w:p>
            <w:pPr>
              <w:keepNext/>
            </w:pPr>
            <w:r/>
            <w:r>
              <w:rPr>
                <w:b/>
                <w:sz w:val="17"/>
              </w:rPr>
              <w:t>Medicamento</w:t>
            </w:r>
          </w:p>
        </w:tc>
        <w:tc>
          <w:tcPr>
            <w:tcW w:type="dxa" w:w="1474"/>
            <w:shd w:val="clear" w:color="auto" w:fill="F3D9CC"/>
            <w:tcMar>
              <w:top w:w="80" w:type="dxa"/>
              <w:bottom w:w="80" w:type="dxa"/>
              <w:start w:w="120" w:type="dxa"/>
              <w:end w:w="120" w:type="dxa"/>
            </w:tcMar>
          </w:tcPr>
          <w:p>
            <w:pPr>
              <w:keepNext/>
            </w:pPr>
            <w:r/>
            <w:r>
              <w:rPr>
                <w:b/>
                <w:sz w:val="17"/>
              </w:rPr>
              <w:t>Forma</w:t>
            </w:r>
          </w:p>
        </w:tc>
        <w:tc>
          <w:tcPr>
            <w:tcW w:type="dxa" w:w="3969"/>
            <w:shd w:val="clear" w:color="auto" w:fill="F3D9CC"/>
            <w:tcMar>
              <w:top w:w="80" w:type="dxa"/>
              <w:bottom w:w="80" w:type="dxa"/>
              <w:start w:w="120" w:type="dxa"/>
              <w:end w:w="120" w:type="dxa"/>
            </w:tcMar>
          </w:tcPr>
          <w:p>
            <w:pPr>
              <w:keepNext/>
            </w:pPr>
            <w:r/>
            <w:r>
              <w:rPr>
                <w:b/>
                <w:sz w:val="17"/>
              </w:rPr>
              <w:t>Dosis típica (orientativa)</w:t>
            </w:r>
          </w:p>
        </w:tc>
        <w:tc>
          <w:tcPr>
            <w:tcW w:type="dxa" w:w="1304"/>
            <w:shd w:val="clear" w:color="auto" w:fill="F3D9CC"/>
            <w:tcMar>
              <w:top w:w="80" w:type="dxa"/>
              <w:bottom w:w="80" w:type="dxa"/>
              <w:start w:w="120" w:type="dxa"/>
              <w:end w:w="120" w:type="dxa"/>
            </w:tcMar>
          </w:tcPr>
          <w:p>
            <w:pPr>
              <w:keepNext/>
            </w:pPr>
            <w:r/>
            <w:r>
              <w:rPr>
                <w:b/>
                <w:sz w:val="17"/>
              </w:rPr>
              <w:t>Categoría</w:t>
            </w:r>
          </w:p>
        </w:tc>
      </w:tr>
      <w:tr>
        <w:trPr>
          <w:cantSplit w:val="true"/>
        </w:trPr>
        <w:tc>
          <w:tcPr>
            <w:tcW w:type="dxa" w:w="2608"/>
            <w:tcMar>
              <w:top w:w="80" w:type="dxa"/>
              <w:bottom w:w="80" w:type="dxa"/>
              <w:start w:w="120" w:type="dxa"/>
              <w:end w:w="120" w:type="dxa"/>
            </w:tcMar>
          </w:tcPr>
          <w:p>
            <w:pPr>
              <w:keepNext/>
            </w:pPr>
            <w:r/>
            <w:r>
              <w:rPr>
                <w:b w:val="0"/>
                <w:sz w:val="17"/>
              </w:rPr>
              <w:t>Dienogest</w:t>
            </w:r>
          </w:p>
        </w:tc>
        <w:tc>
          <w:tcPr>
            <w:tcW w:type="dxa" w:w="1474"/>
            <w:tcMar>
              <w:top w:w="80" w:type="dxa"/>
              <w:bottom w:w="80" w:type="dxa"/>
              <w:start w:w="120" w:type="dxa"/>
              <w:end w:w="120" w:type="dxa"/>
            </w:tcMar>
          </w:tcPr>
          <w:p>
            <w:pPr>
              <w:keepNext/>
            </w:pPr>
            <w:r/>
            <w:r>
              <w:rPr>
                <w:b w:val="0"/>
                <w:sz w:val="17"/>
              </w:rPr>
              <w:t>comprimido</w:t>
            </w:r>
          </w:p>
        </w:tc>
        <w:tc>
          <w:tcPr>
            <w:tcW w:type="dxa" w:w="3969"/>
            <w:tcMar>
              <w:top w:w="80" w:type="dxa"/>
              <w:bottom w:w="80" w:type="dxa"/>
              <w:start w:w="120" w:type="dxa"/>
              <w:end w:w="120" w:type="dxa"/>
            </w:tcMar>
          </w:tcPr>
          <w:p>
            <w:pPr>
              <w:keepNext/>
            </w:pPr>
            <w:r/>
            <w:r>
              <w:rPr>
                <w:b w:val="0"/>
                <w:sz w:val="17"/>
              </w:rPr>
              <w:t>2 mg una vez al día, continuo</w:t>
            </w:r>
          </w:p>
        </w:tc>
        <w:tc>
          <w:tcPr>
            <w:tcW w:type="dxa" w:w="1304"/>
            <w:tcMar>
              <w:top w:w="80" w:type="dxa"/>
              <w:bottom w:w="80" w:type="dxa"/>
              <w:start w:w="120" w:type="dxa"/>
              <w:end w:w="120" w:type="dxa"/>
            </w:tcMar>
          </w:tcPr>
          <w:p>
            <w:pPr>
              <w:keepNext/>
            </w:pPr>
            <w:r/>
            <w:r>
              <w:rPr>
                <w:b w:val="0"/>
                <w:sz w:val="17"/>
              </w:rPr>
              <w:t>hormonal</w:t>
            </w:r>
          </w:p>
        </w:tc>
      </w:tr>
      <w:tr>
        <w:trPr>
          <w:cantSplit w:val="true"/>
        </w:trPr>
        <w:tc>
          <w:tcPr>
            <w:tcW w:type="dxa" w:w="2608"/>
            <w:tcMar>
              <w:top w:w="80" w:type="dxa"/>
              <w:bottom w:w="80" w:type="dxa"/>
              <w:start w:w="120" w:type="dxa"/>
              <w:end w:w="120" w:type="dxa"/>
            </w:tcMar>
            <w:shd w:val="clear" w:color="auto" w:fill="FAF6EF"/>
          </w:tcPr>
          <w:p>
            <w:pPr>
              <w:keepNext/>
            </w:pPr>
            <w:r/>
            <w:r>
              <w:rPr>
                <w:b w:val="0"/>
                <w:sz w:val="17"/>
              </w:rPr>
              <w:t>Anticonceptivo combinado (levonorgestrel + etinilestradiol)</w:t>
            </w:r>
          </w:p>
        </w:tc>
        <w:tc>
          <w:tcPr>
            <w:tcW w:type="dxa" w:w="1474"/>
            <w:tcMar>
              <w:top w:w="80" w:type="dxa"/>
              <w:bottom w:w="80" w:type="dxa"/>
              <w:start w:w="120" w:type="dxa"/>
              <w:end w:w="120" w:type="dxa"/>
            </w:tcMar>
            <w:shd w:val="clear" w:color="auto" w:fill="FAF6EF"/>
          </w:tcPr>
          <w:p>
            <w:pPr>
              <w:keepNext/>
            </w:pPr>
            <w:r/>
            <w:r>
              <w:rPr>
                <w:b w:val="0"/>
                <w:sz w:val="17"/>
              </w:rPr>
              <w:t>comprimido</w:t>
            </w:r>
          </w:p>
        </w:tc>
        <w:tc>
          <w:tcPr>
            <w:tcW w:type="dxa" w:w="3969"/>
            <w:tcMar>
              <w:top w:w="80" w:type="dxa"/>
              <w:bottom w:w="80" w:type="dxa"/>
              <w:start w:w="120" w:type="dxa"/>
              <w:end w:w="120" w:type="dxa"/>
            </w:tcMar>
            <w:shd w:val="clear" w:color="auto" w:fill="FAF6EF"/>
          </w:tcPr>
          <w:p>
            <w:pPr>
              <w:keepNext/>
            </w:pPr>
            <w:r/>
            <w:r>
              <w:rPr>
                <w:b w:val="0"/>
                <w:sz w:val="17"/>
              </w:rPr>
              <w:t>EE 20–35 µg + LNG 100–150 µg al día; a menudo continuo</w:t>
            </w:r>
          </w:p>
        </w:tc>
        <w:tc>
          <w:tcPr>
            <w:tcW w:type="dxa" w:w="1304"/>
            <w:tcMar>
              <w:top w:w="80" w:type="dxa"/>
              <w:bottom w:w="80" w:type="dxa"/>
              <w:start w:w="120" w:type="dxa"/>
              <w:end w:w="120" w:type="dxa"/>
            </w:tcMar>
            <w:shd w:val="clear" w:color="auto" w:fill="FAF6EF"/>
          </w:tcPr>
          <w:p>
            <w:pPr>
              <w:keepNext/>
            </w:pPr>
            <w:r/>
            <w:r>
              <w:rPr>
                <w:b w:val="0"/>
                <w:sz w:val="17"/>
              </w:rPr>
              <w:t>hormonal</w:t>
            </w:r>
          </w:p>
        </w:tc>
      </w:tr>
      <w:tr>
        <w:trPr>
          <w:cantSplit w:val="true"/>
        </w:trPr>
        <w:tc>
          <w:tcPr>
            <w:tcW w:type="dxa" w:w="2608"/>
            <w:tcMar>
              <w:top w:w="80" w:type="dxa"/>
              <w:bottom w:w="80" w:type="dxa"/>
              <w:start w:w="120" w:type="dxa"/>
              <w:end w:w="120" w:type="dxa"/>
            </w:tcMar>
          </w:tcPr>
          <w:p>
            <w:r/>
            <w:r>
              <w:rPr>
                <w:b w:val="0"/>
                <w:sz w:val="17"/>
              </w:rPr>
              <w:t>Acetato de noretisterona</w:t>
            </w:r>
          </w:p>
        </w:tc>
        <w:tc>
          <w:tcPr>
            <w:tcW w:type="dxa" w:w="1474"/>
            <w:tcMar>
              <w:top w:w="80" w:type="dxa"/>
              <w:bottom w:w="80" w:type="dxa"/>
              <w:start w:w="120" w:type="dxa"/>
              <w:end w:w="120" w:type="dxa"/>
            </w:tcMar>
          </w:tcPr>
          <w:p>
            <w:r/>
            <w:r>
              <w:rPr>
                <w:b w:val="0"/>
                <w:sz w:val="17"/>
              </w:rPr>
              <w:t>comprimido</w:t>
            </w:r>
          </w:p>
        </w:tc>
        <w:tc>
          <w:tcPr>
            <w:tcW w:type="dxa" w:w="3969"/>
            <w:tcMar>
              <w:top w:w="80" w:type="dxa"/>
              <w:bottom w:w="80" w:type="dxa"/>
              <w:start w:w="120" w:type="dxa"/>
              <w:end w:w="120" w:type="dxa"/>
            </w:tcMar>
          </w:tcPr>
          <w:p>
            <w:r/>
            <w:r>
              <w:rPr>
                <w:b w:val="0"/>
                <w:sz w:val="17"/>
              </w:rPr>
              <w:t>5 mg/día (2,5–15)</w:t>
            </w:r>
          </w:p>
        </w:tc>
        <w:tc>
          <w:tcPr>
            <w:tcW w:type="dxa" w:w="1304"/>
            <w:tcMar>
              <w:top w:w="80" w:type="dxa"/>
              <w:bottom w:w="80" w:type="dxa"/>
              <w:start w:w="120" w:type="dxa"/>
              <w:end w:w="120" w:type="dxa"/>
            </w:tcMar>
          </w:tcPr>
          <w:p>
            <w:r/>
            <w:r>
              <w:rPr>
                <w:b w:val="0"/>
                <w:sz w:val="17"/>
              </w:rPr>
              <w:t>hormonal</w:t>
            </w:r>
          </w:p>
        </w:tc>
      </w:tr>
      <w:tr>
        <w:trPr>
          <w:cantSplit w:val="true"/>
        </w:trPr>
        <w:tc>
          <w:tcPr>
            <w:tcW w:type="dxa" w:w="2608"/>
            <w:tcMar>
              <w:top w:w="80" w:type="dxa"/>
              <w:bottom w:w="80" w:type="dxa"/>
              <w:start w:w="120" w:type="dxa"/>
              <w:end w:w="120" w:type="dxa"/>
            </w:tcMar>
            <w:shd w:val="clear" w:color="auto" w:fill="FAF6EF"/>
          </w:tcPr>
          <w:p>
            <w:r/>
            <w:r>
              <w:rPr>
                <w:b w:val="0"/>
                <w:sz w:val="17"/>
              </w:rPr>
              <w:t>Acetato de medroxiprogesterona</w:t>
            </w:r>
          </w:p>
        </w:tc>
        <w:tc>
          <w:tcPr>
            <w:tcW w:type="dxa" w:w="1474"/>
            <w:tcMar>
              <w:top w:w="80" w:type="dxa"/>
              <w:bottom w:w="80" w:type="dxa"/>
              <w:start w:w="120" w:type="dxa"/>
              <w:end w:w="120" w:type="dxa"/>
            </w:tcMar>
            <w:shd w:val="clear" w:color="auto" w:fill="FAF6EF"/>
          </w:tcPr>
          <w:p>
            <w:r/>
            <w:r>
              <w:rPr>
                <w:b w:val="0"/>
                <w:sz w:val="17"/>
              </w:rPr>
              <w:t>comprimido / depot</w:t>
            </w:r>
          </w:p>
        </w:tc>
        <w:tc>
          <w:tcPr>
            <w:tcW w:type="dxa" w:w="3969"/>
            <w:tcMar>
              <w:top w:w="80" w:type="dxa"/>
              <w:bottom w:w="80" w:type="dxa"/>
              <w:start w:w="120" w:type="dxa"/>
              <w:end w:w="120" w:type="dxa"/>
            </w:tcMar>
            <w:shd w:val="clear" w:color="auto" w:fill="FAF6EF"/>
          </w:tcPr>
          <w:p>
            <w:r/>
            <w:r>
              <w:rPr>
                <w:b w:val="0"/>
                <w:sz w:val="17"/>
              </w:rPr>
              <w:t>oral 10 mg 1–3 veces al día; depot 104 mg SC o 150 mg IM cada 3 meses</w:t>
            </w:r>
          </w:p>
        </w:tc>
        <w:tc>
          <w:tcPr>
            <w:tcW w:type="dxa" w:w="1304"/>
            <w:tcMar>
              <w:top w:w="80" w:type="dxa"/>
              <w:bottom w:w="80" w:type="dxa"/>
              <w:start w:w="120" w:type="dxa"/>
              <w:end w:w="120" w:type="dxa"/>
            </w:tcMar>
            <w:shd w:val="clear" w:color="auto" w:fill="FAF6EF"/>
          </w:tcPr>
          <w:p>
            <w:r/>
            <w:r>
              <w:rPr>
                <w:b w:val="0"/>
                <w:sz w:val="17"/>
              </w:rPr>
              <w:t>hormonal</w:t>
            </w:r>
          </w:p>
        </w:tc>
      </w:tr>
      <w:tr>
        <w:trPr>
          <w:cantSplit w:val="true"/>
        </w:trPr>
        <w:tc>
          <w:tcPr>
            <w:tcW w:type="dxa" w:w="2608"/>
            <w:tcMar>
              <w:top w:w="80" w:type="dxa"/>
              <w:bottom w:w="80" w:type="dxa"/>
              <w:start w:w="120" w:type="dxa"/>
              <w:end w:w="120" w:type="dxa"/>
            </w:tcMar>
          </w:tcPr>
          <w:p>
            <w:r/>
            <w:r>
              <w:rPr>
                <w:b w:val="0"/>
                <w:sz w:val="17"/>
              </w:rPr>
              <w:t>DIU de levonorgestrel (SIU-LNG)</w:t>
            </w:r>
          </w:p>
        </w:tc>
        <w:tc>
          <w:tcPr>
            <w:tcW w:type="dxa" w:w="1474"/>
            <w:tcMar>
              <w:top w:w="80" w:type="dxa"/>
              <w:bottom w:w="80" w:type="dxa"/>
              <w:start w:w="120" w:type="dxa"/>
              <w:end w:w="120" w:type="dxa"/>
            </w:tcMar>
          </w:tcPr>
          <w:p>
            <w:r/>
            <w:r>
              <w:rPr>
                <w:b w:val="0"/>
                <w:sz w:val="17"/>
              </w:rPr>
              <w:t>DIU</w:t>
            </w:r>
          </w:p>
        </w:tc>
        <w:tc>
          <w:tcPr>
            <w:tcW w:type="dxa" w:w="3969"/>
            <w:tcMar>
              <w:top w:w="80" w:type="dxa"/>
              <w:bottom w:w="80" w:type="dxa"/>
              <w:start w:w="120" w:type="dxa"/>
              <w:end w:w="120" w:type="dxa"/>
            </w:tcMar>
          </w:tcPr>
          <w:p>
            <w:r/>
            <w:r>
              <w:rPr>
                <w:b w:val="0"/>
                <w:sz w:val="17"/>
              </w:rPr>
              <w:t>52 mg, ~20 µg/día, hasta 5–8 años</w:t>
            </w:r>
          </w:p>
        </w:tc>
        <w:tc>
          <w:tcPr>
            <w:tcW w:type="dxa" w:w="1304"/>
            <w:tcMar>
              <w:top w:w="80" w:type="dxa"/>
              <w:bottom w:w="80" w:type="dxa"/>
              <w:start w:w="120" w:type="dxa"/>
              <w:end w:w="120" w:type="dxa"/>
            </w:tcMar>
          </w:tcPr>
          <w:p>
            <w:r/>
            <w:r>
              <w:rPr>
                <w:b w:val="0"/>
                <w:sz w:val="17"/>
              </w:rPr>
              <w:t>hormonal</w:t>
            </w:r>
          </w:p>
        </w:tc>
      </w:tr>
      <w:tr>
        <w:trPr>
          <w:cantSplit w:val="true"/>
        </w:trPr>
        <w:tc>
          <w:tcPr>
            <w:tcW w:type="dxa" w:w="2608"/>
            <w:tcMar>
              <w:top w:w="80" w:type="dxa"/>
              <w:bottom w:w="80" w:type="dxa"/>
              <w:start w:w="120" w:type="dxa"/>
              <w:end w:w="120" w:type="dxa"/>
            </w:tcMar>
            <w:shd w:val="clear" w:color="auto" w:fill="FAF6EF"/>
          </w:tcPr>
          <w:p>
            <w:r/>
            <w:r>
              <w:rPr>
                <w:b w:val="0"/>
                <w:sz w:val="17"/>
              </w:rPr>
              <w:t>Leuprorelina (leuprolida)</w:t>
            </w:r>
          </w:p>
        </w:tc>
        <w:tc>
          <w:tcPr>
            <w:tcW w:type="dxa" w:w="1474"/>
            <w:tcMar>
              <w:top w:w="80" w:type="dxa"/>
              <w:bottom w:w="80" w:type="dxa"/>
              <w:start w:w="120" w:type="dxa"/>
              <w:end w:w="120" w:type="dxa"/>
            </w:tcMar>
            <w:shd w:val="clear" w:color="auto" w:fill="FAF6EF"/>
          </w:tcPr>
          <w:p>
            <w:r/>
            <w:r>
              <w:rPr>
                <w:b w:val="0"/>
                <w:sz w:val="17"/>
              </w:rPr>
              <w:t>inyección depot</w:t>
            </w:r>
          </w:p>
        </w:tc>
        <w:tc>
          <w:tcPr>
            <w:tcW w:type="dxa" w:w="3969"/>
            <w:tcMar>
              <w:top w:w="80" w:type="dxa"/>
              <w:bottom w:w="80" w:type="dxa"/>
              <w:start w:w="120" w:type="dxa"/>
              <w:end w:w="120" w:type="dxa"/>
            </w:tcMar>
            <w:shd w:val="clear" w:color="auto" w:fill="FAF6EF"/>
          </w:tcPr>
          <w:p>
            <w:r/>
            <w:r>
              <w:rPr>
                <w:b w:val="0"/>
                <w:sz w:val="17"/>
              </w:rPr>
              <w:t xml:space="preserve">3,75 mg mensual / 11,25 mg cada 3 meses; </w:t>
            </w:r>
            <w:r>
              <w:rPr>
                <w:b/>
                <w:sz w:val="17"/>
              </w:rPr>
              <w:t>≤ 6 meses sin terapia de reemplazo (add-back)</w:t>
            </w:r>
          </w:p>
        </w:tc>
        <w:tc>
          <w:tcPr>
            <w:tcW w:type="dxa" w:w="1304"/>
            <w:tcMar>
              <w:top w:w="80" w:type="dxa"/>
              <w:bottom w:w="80" w:type="dxa"/>
              <w:start w:w="120" w:type="dxa"/>
              <w:end w:w="120" w:type="dxa"/>
            </w:tcMar>
            <w:shd w:val="clear" w:color="auto" w:fill="FAF6EF"/>
          </w:tcPr>
          <w:p>
            <w:r/>
            <w:r>
              <w:rPr>
                <w:b w:val="0"/>
                <w:sz w:val="17"/>
              </w:rPr>
              <w:t>hormonal</w:t>
            </w:r>
          </w:p>
        </w:tc>
      </w:tr>
      <w:tr>
        <w:trPr>
          <w:cantSplit w:val="true"/>
        </w:trPr>
        <w:tc>
          <w:tcPr>
            <w:tcW w:type="dxa" w:w="2608"/>
            <w:tcMar>
              <w:top w:w="80" w:type="dxa"/>
              <w:bottom w:w="80" w:type="dxa"/>
              <w:start w:w="120" w:type="dxa"/>
              <w:end w:w="120" w:type="dxa"/>
            </w:tcMar>
          </w:tcPr>
          <w:p>
            <w:r/>
            <w:r>
              <w:rPr>
                <w:b w:val="0"/>
                <w:sz w:val="17"/>
              </w:rPr>
              <w:t>Goserelina</w:t>
            </w:r>
          </w:p>
        </w:tc>
        <w:tc>
          <w:tcPr>
            <w:tcW w:type="dxa" w:w="1474"/>
            <w:tcMar>
              <w:top w:w="80" w:type="dxa"/>
              <w:bottom w:w="80" w:type="dxa"/>
              <w:start w:w="120" w:type="dxa"/>
              <w:end w:w="120" w:type="dxa"/>
            </w:tcMar>
          </w:tcPr>
          <w:p>
            <w:r/>
            <w:r>
              <w:rPr>
                <w:b w:val="0"/>
                <w:sz w:val="17"/>
              </w:rPr>
              <w:t>implante SC</w:t>
            </w:r>
          </w:p>
        </w:tc>
        <w:tc>
          <w:tcPr>
            <w:tcW w:type="dxa" w:w="3969"/>
            <w:tcMar>
              <w:top w:w="80" w:type="dxa"/>
              <w:bottom w:w="80" w:type="dxa"/>
              <w:start w:w="120" w:type="dxa"/>
              <w:end w:w="120" w:type="dxa"/>
            </w:tcMar>
          </w:tcPr>
          <w:p>
            <w:r/>
            <w:r>
              <w:rPr>
                <w:b w:val="0"/>
                <w:sz w:val="17"/>
              </w:rPr>
              <w:t xml:space="preserve">3,6 mg mensual / 10,8 mg cada 3 meses; </w:t>
            </w:r>
            <w:r>
              <w:rPr>
                <w:b/>
                <w:sz w:val="17"/>
              </w:rPr>
              <w:t>≤ 6 meses sin add-back</w:t>
            </w:r>
          </w:p>
        </w:tc>
        <w:tc>
          <w:tcPr>
            <w:tcW w:type="dxa" w:w="1304"/>
            <w:tcMar>
              <w:top w:w="80" w:type="dxa"/>
              <w:bottom w:w="80" w:type="dxa"/>
              <w:start w:w="120" w:type="dxa"/>
              <w:end w:w="120" w:type="dxa"/>
            </w:tcMar>
          </w:tcPr>
          <w:p>
            <w:r/>
            <w:r>
              <w:rPr>
                <w:b w:val="0"/>
                <w:sz w:val="17"/>
              </w:rPr>
              <w:t>hormonal</w:t>
            </w:r>
          </w:p>
        </w:tc>
      </w:tr>
      <w:tr>
        <w:trPr>
          <w:cantSplit w:val="true"/>
        </w:trPr>
        <w:tc>
          <w:tcPr>
            <w:tcW w:type="dxa" w:w="2608"/>
            <w:tcMar>
              <w:top w:w="80" w:type="dxa"/>
              <w:bottom w:w="80" w:type="dxa"/>
              <w:start w:w="120" w:type="dxa"/>
              <w:end w:w="120" w:type="dxa"/>
            </w:tcMar>
            <w:shd w:val="clear" w:color="auto" w:fill="FAF6EF"/>
          </w:tcPr>
          <w:p>
            <w:r/>
            <w:r>
              <w:rPr>
                <w:b w:val="0"/>
                <w:sz w:val="17"/>
              </w:rPr>
              <w:t>Elagolix</w:t>
            </w:r>
          </w:p>
        </w:tc>
        <w:tc>
          <w:tcPr>
            <w:tcW w:type="dxa" w:w="1474"/>
            <w:tcMar>
              <w:top w:w="80" w:type="dxa"/>
              <w:bottom w:w="80" w:type="dxa"/>
              <w:start w:w="120" w:type="dxa"/>
              <w:end w:w="120" w:type="dxa"/>
            </w:tcMar>
            <w:shd w:val="clear" w:color="auto" w:fill="FAF6EF"/>
          </w:tcPr>
          <w:p>
            <w:r/>
            <w:r>
              <w:rPr>
                <w:b w:val="0"/>
                <w:sz w:val="17"/>
              </w:rPr>
              <w:t>comprimido</w:t>
            </w:r>
          </w:p>
        </w:tc>
        <w:tc>
          <w:tcPr>
            <w:tcW w:type="dxa" w:w="3969"/>
            <w:tcMar>
              <w:top w:w="80" w:type="dxa"/>
              <w:bottom w:w="80" w:type="dxa"/>
              <w:start w:w="120" w:type="dxa"/>
              <w:end w:w="120" w:type="dxa"/>
            </w:tcMar>
            <w:shd w:val="clear" w:color="auto" w:fill="FAF6EF"/>
          </w:tcPr>
          <w:p>
            <w:r/>
            <w:r>
              <w:rPr>
                <w:b w:val="0"/>
                <w:sz w:val="17"/>
              </w:rPr>
              <w:t>150 mg una vez al día, o 200 mg dos veces al día (</w:t>
            </w:r>
            <w:r>
              <w:rPr>
                <w:b/>
                <w:sz w:val="17"/>
              </w:rPr>
              <w:t>≤ 6 meses</w:t>
            </w:r>
            <w:r>
              <w:rPr>
                <w:b w:val="0"/>
                <w:sz w:val="17"/>
              </w:rPr>
              <w:t>)</w:t>
            </w:r>
          </w:p>
        </w:tc>
        <w:tc>
          <w:tcPr>
            <w:tcW w:type="dxa" w:w="1304"/>
            <w:tcMar>
              <w:top w:w="80" w:type="dxa"/>
              <w:bottom w:w="80" w:type="dxa"/>
              <w:start w:w="120" w:type="dxa"/>
              <w:end w:w="120" w:type="dxa"/>
            </w:tcMar>
            <w:shd w:val="clear" w:color="auto" w:fill="FAF6EF"/>
          </w:tcPr>
          <w:p>
            <w:r/>
            <w:r>
              <w:rPr>
                <w:b w:val="0"/>
                <w:sz w:val="17"/>
              </w:rPr>
              <w:t>hormonal</w:t>
            </w:r>
          </w:p>
        </w:tc>
      </w:tr>
      <w:tr>
        <w:trPr>
          <w:cantSplit w:val="true"/>
        </w:trPr>
        <w:tc>
          <w:tcPr>
            <w:tcW w:type="dxa" w:w="2608"/>
            <w:tcMar>
              <w:top w:w="80" w:type="dxa"/>
              <w:bottom w:w="80" w:type="dxa"/>
              <w:start w:w="120" w:type="dxa"/>
              <w:end w:w="120" w:type="dxa"/>
            </w:tcMar>
          </w:tcPr>
          <w:p>
            <w:r/>
            <w:r>
              <w:rPr>
                <w:b w:val="0"/>
                <w:sz w:val="17"/>
              </w:rPr>
              <w:t>Relugolix combinado</w:t>
            </w:r>
          </w:p>
        </w:tc>
        <w:tc>
          <w:tcPr>
            <w:tcW w:type="dxa" w:w="1474"/>
            <w:tcMar>
              <w:top w:w="80" w:type="dxa"/>
              <w:bottom w:w="80" w:type="dxa"/>
              <w:start w:w="120" w:type="dxa"/>
              <w:end w:w="120" w:type="dxa"/>
            </w:tcMar>
          </w:tcPr>
          <w:p>
            <w:r/>
            <w:r>
              <w:rPr>
                <w:b w:val="0"/>
                <w:sz w:val="17"/>
              </w:rPr>
              <w:t>comprimido</w:t>
            </w:r>
          </w:p>
        </w:tc>
        <w:tc>
          <w:tcPr>
            <w:tcW w:type="dxa" w:w="3969"/>
            <w:tcMar>
              <w:top w:w="80" w:type="dxa"/>
              <w:bottom w:w="80" w:type="dxa"/>
              <w:start w:w="120" w:type="dxa"/>
              <w:end w:w="120" w:type="dxa"/>
            </w:tcMar>
          </w:tcPr>
          <w:p>
            <w:r/>
            <w:r>
              <w:rPr>
                <w:b w:val="0"/>
                <w:sz w:val="17"/>
              </w:rPr>
              <w:t>relugolix 40 mg + estradiol 1 mg + NETA 0,5 mg, un comprimido al día</w:t>
            </w:r>
          </w:p>
        </w:tc>
        <w:tc>
          <w:tcPr>
            <w:tcW w:type="dxa" w:w="1304"/>
            <w:tcMar>
              <w:top w:w="80" w:type="dxa"/>
              <w:bottom w:w="80" w:type="dxa"/>
              <w:start w:w="120" w:type="dxa"/>
              <w:end w:w="120" w:type="dxa"/>
            </w:tcMar>
          </w:tcPr>
          <w:p>
            <w:r/>
            <w:r>
              <w:rPr>
                <w:b w:val="0"/>
                <w:sz w:val="17"/>
              </w:rPr>
              <w:t>hormonal</w:t>
            </w:r>
          </w:p>
        </w:tc>
      </w:tr>
      <w:tr>
        <w:trPr>
          <w:cantSplit w:val="true"/>
        </w:trPr>
        <w:tc>
          <w:tcPr>
            <w:tcW w:type="dxa" w:w="2608"/>
            <w:tcMar>
              <w:top w:w="80" w:type="dxa"/>
              <w:bottom w:w="80" w:type="dxa"/>
              <w:start w:w="120" w:type="dxa"/>
              <w:end w:w="120" w:type="dxa"/>
            </w:tcMar>
            <w:shd w:val="clear" w:color="auto" w:fill="FAF6EF"/>
          </w:tcPr>
          <w:p>
            <w:r/>
            <w:r>
              <w:rPr>
                <w:b w:val="0"/>
                <w:sz w:val="17"/>
              </w:rPr>
              <w:t>Danazol</w:t>
            </w:r>
          </w:p>
        </w:tc>
        <w:tc>
          <w:tcPr>
            <w:tcW w:type="dxa" w:w="1474"/>
            <w:tcMar>
              <w:top w:w="80" w:type="dxa"/>
              <w:bottom w:w="80" w:type="dxa"/>
              <w:start w:w="120" w:type="dxa"/>
              <w:end w:w="120" w:type="dxa"/>
            </w:tcMar>
            <w:shd w:val="clear" w:color="auto" w:fill="FAF6EF"/>
          </w:tcPr>
          <w:p>
            <w:r/>
            <w:r>
              <w:rPr>
                <w:b w:val="0"/>
                <w:sz w:val="17"/>
              </w:rPr>
              <w:t>cápsula</w:t>
            </w:r>
          </w:p>
        </w:tc>
        <w:tc>
          <w:tcPr>
            <w:tcW w:type="dxa" w:w="3969"/>
            <w:tcMar>
              <w:top w:w="80" w:type="dxa"/>
              <w:bottom w:w="80" w:type="dxa"/>
              <w:start w:w="120" w:type="dxa"/>
              <w:end w:w="120" w:type="dxa"/>
            </w:tcMar>
            <w:shd w:val="clear" w:color="auto" w:fill="FAF6EF"/>
          </w:tcPr>
          <w:p>
            <w:r/>
            <w:r>
              <w:rPr>
                <w:b w:val="0"/>
                <w:sz w:val="17"/>
              </w:rPr>
              <w:t>200–800 mg/día repartidos (efectos androgénicos; poco usado)</w:t>
            </w:r>
          </w:p>
        </w:tc>
        <w:tc>
          <w:tcPr>
            <w:tcW w:type="dxa" w:w="1304"/>
            <w:tcMar>
              <w:top w:w="80" w:type="dxa"/>
              <w:bottom w:w="80" w:type="dxa"/>
              <w:start w:w="120" w:type="dxa"/>
              <w:end w:w="120" w:type="dxa"/>
            </w:tcMar>
            <w:shd w:val="clear" w:color="auto" w:fill="FAF6EF"/>
          </w:tcPr>
          <w:p>
            <w:r/>
            <w:r>
              <w:rPr>
                <w:b w:val="0"/>
                <w:sz w:val="17"/>
              </w:rPr>
              <w:t>hormonal</w:t>
            </w:r>
          </w:p>
        </w:tc>
      </w:tr>
      <w:tr>
        <w:trPr>
          <w:cantSplit w:val="true"/>
        </w:trPr>
        <w:tc>
          <w:tcPr>
            <w:tcW w:type="dxa" w:w="2608"/>
            <w:tcMar>
              <w:top w:w="80" w:type="dxa"/>
              <w:bottom w:w="80" w:type="dxa"/>
              <w:start w:w="120" w:type="dxa"/>
              <w:end w:w="120" w:type="dxa"/>
            </w:tcMar>
          </w:tcPr>
          <w:p>
            <w:r/>
            <w:r>
              <w:rPr>
                <w:b w:val="0"/>
                <w:sz w:val="17"/>
              </w:rPr>
              <w:t>Letrozol</w:t>
            </w:r>
          </w:p>
        </w:tc>
        <w:tc>
          <w:tcPr>
            <w:tcW w:type="dxa" w:w="1474"/>
            <w:tcMar>
              <w:top w:w="80" w:type="dxa"/>
              <w:bottom w:w="80" w:type="dxa"/>
              <w:start w:w="120" w:type="dxa"/>
              <w:end w:w="120" w:type="dxa"/>
            </w:tcMar>
          </w:tcPr>
          <w:p>
            <w:r/>
            <w:r>
              <w:rPr>
                <w:b w:val="0"/>
                <w:sz w:val="17"/>
              </w:rPr>
              <w:t>comprimido</w:t>
            </w:r>
          </w:p>
        </w:tc>
        <w:tc>
          <w:tcPr>
            <w:tcW w:type="dxa" w:w="3969"/>
            <w:tcMar>
              <w:top w:w="80" w:type="dxa"/>
              <w:bottom w:w="80" w:type="dxa"/>
              <w:start w:w="120" w:type="dxa"/>
              <w:end w:w="120" w:type="dxa"/>
            </w:tcMar>
          </w:tcPr>
          <w:p>
            <w:r/>
            <w:r>
              <w:rPr>
                <w:b w:val="0"/>
                <w:sz w:val="17"/>
              </w:rPr>
              <w:t>2,5 mg una vez al día (fuera de indicación; habitualmente con progestina o anticonceptivo)</w:t>
            </w:r>
          </w:p>
        </w:tc>
        <w:tc>
          <w:tcPr>
            <w:tcW w:type="dxa" w:w="1304"/>
            <w:tcMar>
              <w:top w:w="80" w:type="dxa"/>
              <w:bottom w:w="80" w:type="dxa"/>
              <w:start w:w="120" w:type="dxa"/>
              <w:end w:w="120" w:type="dxa"/>
            </w:tcMar>
          </w:tcPr>
          <w:p>
            <w:r/>
            <w:r>
              <w:rPr>
                <w:b w:val="0"/>
                <w:sz w:val="17"/>
              </w:rPr>
              <w:t>hormonal</w:t>
            </w:r>
          </w:p>
        </w:tc>
      </w:tr>
      <w:tr>
        <w:trPr>
          <w:cantSplit w:val="true"/>
        </w:trPr>
        <w:tc>
          <w:tcPr>
            <w:tcW w:type="dxa" w:w="2608"/>
            <w:tcMar>
              <w:top w:w="80" w:type="dxa"/>
              <w:bottom w:w="80" w:type="dxa"/>
              <w:start w:w="120" w:type="dxa"/>
              <w:end w:w="120" w:type="dxa"/>
            </w:tcMar>
            <w:shd w:val="clear" w:color="auto" w:fill="FAF6EF"/>
          </w:tcPr>
          <w:p>
            <w:r/>
            <w:r>
              <w:rPr>
                <w:b w:val="0"/>
                <w:sz w:val="17"/>
              </w:rPr>
              <w:t>Píldora de solo drospirenona</w:t>
            </w:r>
          </w:p>
        </w:tc>
        <w:tc>
          <w:tcPr>
            <w:tcW w:type="dxa" w:w="1474"/>
            <w:tcMar>
              <w:top w:w="80" w:type="dxa"/>
              <w:bottom w:w="80" w:type="dxa"/>
              <w:start w:w="120" w:type="dxa"/>
              <w:end w:w="120" w:type="dxa"/>
            </w:tcMar>
            <w:shd w:val="clear" w:color="auto" w:fill="FAF6EF"/>
          </w:tcPr>
          <w:p>
            <w:r/>
            <w:r>
              <w:rPr>
                <w:b w:val="0"/>
                <w:sz w:val="17"/>
              </w:rPr>
              <w:t>comprimido</w:t>
            </w:r>
          </w:p>
        </w:tc>
        <w:tc>
          <w:tcPr>
            <w:tcW w:type="dxa" w:w="3969"/>
            <w:tcMar>
              <w:top w:w="80" w:type="dxa"/>
              <w:bottom w:w="80" w:type="dxa"/>
              <w:start w:w="120" w:type="dxa"/>
              <w:end w:w="120" w:type="dxa"/>
            </w:tcMar>
            <w:shd w:val="clear" w:color="auto" w:fill="FAF6EF"/>
          </w:tcPr>
          <w:p>
            <w:r/>
            <w:r>
              <w:rPr>
                <w:b w:val="0"/>
                <w:sz w:val="17"/>
              </w:rPr>
              <w:t>4 mg una vez al día (24/4 o continuo)</w:t>
            </w:r>
          </w:p>
        </w:tc>
        <w:tc>
          <w:tcPr>
            <w:tcW w:type="dxa" w:w="1304"/>
            <w:tcMar>
              <w:top w:w="80" w:type="dxa"/>
              <w:bottom w:w="80" w:type="dxa"/>
              <w:start w:w="120" w:type="dxa"/>
              <w:end w:w="120" w:type="dxa"/>
            </w:tcMar>
            <w:shd w:val="clear" w:color="auto" w:fill="FAF6EF"/>
          </w:tcPr>
          <w:p>
            <w:r/>
            <w:r>
              <w:rPr>
                <w:b w:val="0"/>
                <w:sz w:val="17"/>
              </w:rPr>
              <w:t>hormonal</w:t>
            </w:r>
          </w:p>
        </w:tc>
      </w:tr>
      <w:tr>
        <w:trPr>
          <w:cantSplit w:val="true"/>
        </w:trPr>
        <w:tc>
          <w:tcPr>
            <w:tcW w:type="dxa" w:w="2608"/>
            <w:tcMar>
              <w:top w:w="80" w:type="dxa"/>
              <w:bottom w:w="80" w:type="dxa"/>
              <w:start w:w="120" w:type="dxa"/>
              <w:end w:w="120" w:type="dxa"/>
            </w:tcMar>
          </w:tcPr>
          <w:p>
            <w:r/>
            <w:r>
              <w:rPr>
                <w:b w:val="0"/>
                <w:sz w:val="17"/>
              </w:rPr>
              <w:t>Naproxeno</w:t>
            </w:r>
          </w:p>
        </w:tc>
        <w:tc>
          <w:tcPr>
            <w:tcW w:type="dxa" w:w="1474"/>
            <w:tcMar>
              <w:top w:w="80" w:type="dxa"/>
              <w:bottom w:w="80" w:type="dxa"/>
              <w:start w:w="120" w:type="dxa"/>
              <w:end w:w="120" w:type="dxa"/>
            </w:tcMar>
          </w:tcPr>
          <w:p>
            <w:r/>
            <w:r>
              <w:rPr>
                <w:b w:val="0"/>
                <w:sz w:val="17"/>
              </w:rPr>
              <w:t>comprimido</w:t>
            </w:r>
          </w:p>
        </w:tc>
        <w:tc>
          <w:tcPr>
            <w:tcW w:type="dxa" w:w="3969"/>
            <w:tcMar>
              <w:top w:w="80" w:type="dxa"/>
              <w:bottom w:w="80" w:type="dxa"/>
              <w:start w:w="120" w:type="dxa"/>
              <w:end w:w="120" w:type="dxa"/>
            </w:tcMar>
          </w:tcPr>
          <w:p>
            <w:r/>
            <w:r>
              <w:rPr>
                <w:b w:val="0"/>
                <w:sz w:val="17"/>
              </w:rPr>
              <w:t>250–500 mg dos veces al día (máx. ~1000–1250 mg/día)</w:t>
            </w:r>
          </w:p>
        </w:tc>
        <w:tc>
          <w:tcPr>
            <w:tcW w:type="dxa" w:w="1304"/>
            <w:tcMar>
              <w:top w:w="80" w:type="dxa"/>
              <w:bottom w:w="80" w:type="dxa"/>
              <w:start w:w="120" w:type="dxa"/>
              <w:end w:w="120" w:type="dxa"/>
            </w:tcMar>
          </w:tcPr>
          <w:p>
            <w:r/>
            <w:r>
              <w:rPr>
                <w:b w:val="0"/>
                <w:sz w:val="17"/>
              </w:rPr>
              <w:t>dolor</w:t>
            </w:r>
          </w:p>
        </w:tc>
      </w:tr>
      <w:tr>
        <w:trPr>
          <w:cantSplit w:val="true"/>
        </w:trPr>
        <w:tc>
          <w:tcPr>
            <w:tcW w:type="dxa" w:w="2608"/>
            <w:tcMar>
              <w:top w:w="80" w:type="dxa"/>
              <w:bottom w:w="80" w:type="dxa"/>
              <w:start w:w="120" w:type="dxa"/>
              <w:end w:w="120" w:type="dxa"/>
            </w:tcMar>
            <w:shd w:val="clear" w:color="auto" w:fill="FAF6EF"/>
          </w:tcPr>
          <w:p>
            <w:r/>
            <w:r>
              <w:rPr>
                <w:b w:val="0"/>
                <w:sz w:val="17"/>
              </w:rPr>
              <w:t>Ibuprofeno</w:t>
            </w:r>
          </w:p>
        </w:tc>
        <w:tc>
          <w:tcPr>
            <w:tcW w:type="dxa" w:w="1474"/>
            <w:tcMar>
              <w:top w:w="80" w:type="dxa"/>
              <w:bottom w:w="80" w:type="dxa"/>
              <w:start w:w="120" w:type="dxa"/>
              <w:end w:w="120" w:type="dxa"/>
            </w:tcMar>
            <w:shd w:val="clear" w:color="auto" w:fill="FAF6EF"/>
          </w:tcPr>
          <w:p>
            <w:r/>
            <w:r>
              <w:rPr>
                <w:b w:val="0"/>
                <w:sz w:val="17"/>
              </w:rPr>
              <w:t>comprimido</w:t>
            </w:r>
          </w:p>
        </w:tc>
        <w:tc>
          <w:tcPr>
            <w:tcW w:type="dxa" w:w="3969"/>
            <w:tcMar>
              <w:top w:w="80" w:type="dxa"/>
              <w:bottom w:w="80" w:type="dxa"/>
              <w:start w:w="120" w:type="dxa"/>
              <w:end w:w="120" w:type="dxa"/>
            </w:tcMar>
            <w:shd w:val="clear" w:color="auto" w:fill="FAF6EF"/>
          </w:tcPr>
          <w:p>
            <w:r/>
            <w:r>
              <w:rPr>
                <w:b w:val="0"/>
                <w:sz w:val="17"/>
              </w:rPr>
              <w:t>400 mg cada 6–8 h (máx. 1200 sin receta; con receta ~2400–3200, según el país)</w:t>
            </w:r>
          </w:p>
        </w:tc>
        <w:tc>
          <w:tcPr>
            <w:tcW w:type="dxa" w:w="1304"/>
            <w:tcMar>
              <w:top w:w="80" w:type="dxa"/>
              <w:bottom w:w="80" w:type="dxa"/>
              <w:start w:w="120" w:type="dxa"/>
              <w:end w:w="120" w:type="dxa"/>
            </w:tcMar>
            <w:shd w:val="clear" w:color="auto" w:fill="FAF6EF"/>
          </w:tcPr>
          <w:p>
            <w:r/>
            <w:r>
              <w:rPr>
                <w:b w:val="0"/>
                <w:sz w:val="17"/>
              </w:rPr>
              <w:t>dolor</w:t>
            </w:r>
          </w:p>
        </w:tc>
      </w:tr>
      <w:tr>
        <w:trPr>
          <w:cantSplit w:val="true"/>
        </w:trPr>
        <w:tc>
          <w:tcPr>
            <w:tcW w:type="dxa" w:w="2608"/>
            <w:tcMar>
              <w:top w:w="80" w:type="dxa"/>
              <w:bottom w:w="80" w:type="dxa"/>
              <w:start w:w="120" w:type="dxa"/>
              <w:end w:w="120" w:type="dxa"/>
            </w:tcMar>
          </w:tcPr>
          <w:p>
            <w:r/>
            <w:r>
              <w:rPr>
                <w:b w:val="0"/>
                <w:sz w:val="17"/>
              </w:rPr>
              <w:t>Paracetamol</w:t>
            </w:r>
          </w:p>
        </w:tc>
        <w:tc>
          <w:tcPr>
            <w:tcW w:type="dxa" w:w="1474"/>
            <w:tcMar>
              <w:top w:w="80" w:type="dxa"/>
              <w:bottom w:w="80" w:type="dxa"/>
              <w:start w:w="120" w:type="dxa"/>
              <w:end w:w="120" w:type="dxa"/>
            </w:tcMar>
          </w:tcPr>
          <w:p>
            <w:r/>
            <w:r>
              <w:rPr>
                <w:b w:val="0"/>
                <w:sz w:val="17"/>
              </w:rPr>
              <w:t>comprimido</w:t>
            </w:r>
          </w:p>
        </w:tc>
        <w:tc>
          <w:tcPr>
            <w:tcW w:type="dxa" w:w="3969"/>
            <w:tcMar>
              <w:top w:w="80" w:type="dxa"/>
              <w:bottom w:w="80" w:type="dxa"/>
              <w:start w:w="120" w:type="dxa"/>
              <w:end w:w="120" w:type="dxa"/>
            </w:tcMar>
          </w:tcPr>
          <w:p>
            <w:r/>
            <w:r>
              <w:rPr>
                <w:b w:val="0"/>
                <w:sz w:val="17"/>
              </w:rPr>
              <w:t>500–1000 mg cada 4–6 h (máx. 3–4 g/día)</w:t>
            </w:r>
          </w:p>
        </w:tc>
        <w:tc>
          <w:tcPr>
            <w:tcW w:type="dxa" w:w="1304"/>
            <w:tcMar>
              <w:top w:w="80" w:type="dxa"/>
              <w:bottom w:w="80" w:type="dxa"/>
              <w:start w:w="120" w:type="dxa"/>
              <w:end w:w="120" w:type="dxa"/>
            </w:tcMar>
          </w:tcPr>
          <w:p>
            <w:r/>
            <w:r>
              <w:rPr>
                <w:b w:val="0"/>
                <w:sz w:val="17"/>
              </w:rPr>
              <w:t>dolor</w:t>
            </w:r>
          </w:p>
        </w:tc>
      </w:tr>
      <w:tr>
        <w:trPr>
          <w:cantSplit w:val="true"/>
        </w:trPr>
        <w:tc>
          <w:tcPr>
            <w:tcW w:type="dxa" w:w="2608"/>
            <w:tcMar>
              <w:top w:w="80" w:type="dxa"/>
              <w:bottom w:w="80" w:type="dxa"/>
              <w:start w:w="120" w:type="dxa"/>
              <w:end w:w="120" w:type="dxa"/>
            </w:tcMar>
            <w:shd w:val="clear" w:color="auto" w:fill="FAF6EF"/>
          </w:tcPr>
          <w:p>
            <w:r/>
            <w:r>
              <w:rPr>
                <w:b w:val="0"/>
                <w:sz w:val="17"/>
              </w:rPr>
              <w:t>Ácido tranexámico</w:t>
            </w:r>
          </w:p>
        </w:tc>
        <w:tc>
          <w:tcPr>
            <w:tcW w:type="dxa" w:w="1474"/>
            <w:tcMar>
              <w:top w:w="80" w:type="dxa"/>
              <w:bottom w:w="80" w:type="dxa"/>
              <w:start w:w="120" w:type="dxa"/>
              <w:end w:w="120" w:type="dxa"/>
            </w:tcMar>
            <w:shd w:val="clear" w:color="auto" w:fill="FAF6EF"/>
          </w:tcPr>
          <w:p>
            <w:r/>
            <w:r>
              <w:rPr>
                <w:b w:val="0"/>
                <w:sz w:val="17"/>
              </w:rPr>
              <w:t>comprimido</w:t>
            </w:r>
          </w:p>
        </w:tc>
        <w:tc>
          <w:tcPr>
            <w:tcW w:type="dxa" w:w="3969"/>
            <w:tcMar>
              <w:top w:w="80" w:type="dxa"/>
              <w:bottom w:w="80" w:type="dxa"/>
              <w:start w:w="120" w:type="dxa"/>
              <w:end w:w="120" w:type="dxa"/>
            </w:tcMar>
            <w:shd w:val="clear" w:color="auto" w:fill="FAF6EF"/>
          </w:tcPr>
          <w:p>
            <w:r/>
            <w:r>
              <w:rPr>
                <w:b w:val="0"/>
                <w:sz w:val="17"/>
              </w:rPr>
              <w:t>1–1,3 g tres veces al día durante la menstruación (≤ ~4 días por ciclo)</w:t>
            </w:r>
          </w:p>
        </w:tc>
        <w:tc>
          <w:tcPr>
            <w:tcW w:type="dxa" w:w="1304"/>
            <w:tcMar>
              <w:top w:w="80" w:type="dxa"/>
              <w:bottom w:w="80" w:type="dxa"/>
              <w:start w:w="120" w:type="dxa"/>
              <w:end w:w="120" w:type="dxa"/>
            </w:tcMar>
            <w:shd w:val="clear" w:color="auto" w:fill="FAF6EF"/>
          </w:tcPr>
          <w:p>
            <w:r/>
            <w:r>
              <w:rPr>
                <w:b w:val="0"/>
                <w:sz w:val="17"/>
              </w:rPr>
              <w:t>sangrado</w:t>
            </w:r>
          </w:p>
        </w:tc>
      </w:tr>
      <w:tr>
        <w:trPr>
          <w:cantSplit w:val="true"/>
        </w:trPr>
        <w:tc>
          <w:tcPr>
            <w:tcW w:type="dxa" w:w="2608"/>
            <w:tcMar>
              <w:top w:w="80" w:type="dxa"/>
              <w:bottom w:w="80" w:type="dxa"/>
              <w:start w:w="120" w:type="dxa"/>
              <w:end w:w="120" w:type="dxa"/>
            </w:tcMar>
          </w:tcPr>
          <w:p>
            <w:r/>
            <w:r>
              <w:rPr>
                <w:b w:val="0"/>
                <w:sz w:val="17"/>
              </w:rPr>
              <w:t>Omega-3 (EPA + DHA)</w:t>
            </w:r>
          </w:p>
        </w:tc>
        <w:tc>
          <w:tcPr>
            <w:tcW w:type="dxa" w:w="1474"/>
            <w:tcMar>
              <w:top w:w="80" w:type="dxa"/>
              <w:bottom w:w="80" w:type="dxa"/>
              <w:start w:w="120" w:type="dxa"/>
              <w:end w:w="120" w:type="dxa"/>
            </w:tcMar>
          </w:tcPr>
          <w:p>
            <w:r/>
            <w:r>
              <w:rPr>
                <w:b w:val="0"/>
                <w:sz w:val="17"/>
              </w:rPr>
              <w:t>cápsula</w:t>
            </w:r>
          </w:p>
        </w:tc>
        <w:tc>
          <w:tcPr>
            <w:tcW w:type="dxa" w:w="3969"/>
            <w:tcMar>
              <w:top w:w="80" w:type="dxa"/>
              <w:bottom w:w="80" w:type="dxa"/>
              <w:start w:w="120" w:type="dxa"/>
              <w:end w:w="120" w:type="dxa"/>
            </w:tcMar>
          </w:tcPr>
          <w:p>
            <w:r/>
            <w:r>
              <w:rPr>
                <w:b w:val="0"/>
                <w:sz w:val="17"/>
              </w:rPr>
              <w:t>~1–2 g/día</w:t>
            </w:r>
          </w:p>
        </w:tc>
        <w:tc>
          <w:tcPr>
            <w:tcW w:type="dxa" w:w="1304"/>
            <w:tcMar>
              <w:top w:w="80" w:type="dxa"/>
              <w:bottom w:w="80" w:type="dxa"/>
              <w:start w:w="120" w:type="dxa"/>
              <w:end w:w="120" w:type="dxa"/>
            </w:tcMar>
          </w:tcPr>
          <w:p>
            <w:r/>
            <w:r>
              <w:rPr>
                <w:b w:val="0"/>
                <w:sz w:val="17"/>
              </w:rPr>
              <w:t>suplemento</w:t>
            </w:r>
          </w:p>
        </w:tc>
      </w:tr>
      <w:tr>
        <w:trPr>
          <w:cantSplit w:val="true"/>
        </w:trPr>
        <w:tc>
          <w:tcPr>
            <w:tcW w:type="dxa" w:w="2608"/>
            <w:tcMar>
              <w:top w:w="80" w:type="dxa"/>
              <w:bottom w:w="80" w:type="dxa"/>
              <w:start w:w="120" w:type="dxa"/>
              <w:end w:w="120" w:type="dxa"/>
            </w:tcMar>
            <w:shd w:val="clear" w:color="auto" w:fill="FAF6EF"/>
          </w:tcPr>
          <w:p>
            <w:r/>
            <w:r>
              <w:rPr>
                <w:b w:val="0"/>
                <w:sz w:val="17"/>
              </w:rPr>
              <w:t>Vitamina D3 (colecalciferol)</w:t>
            </w:r>
          </w:p>
        </w:tc>
        <w:tc>
          <w:tcPr>
            <w:tcW w:type="dxa" w:w="1474"/>
            <w:tcMar>
              <w:top w:w="80" w:type="dxa"/>
              <w:bottom w:w="80" w:type="dxa"/>
              <w:start w:w="120" w:type="dxa"/>
              <w:end w:w="120" w:type="dxa"/>
            </w:tcMar>
            <w:shd w:val="clear" w:color="auto" w:fill="FAF6EF"/>
          </w:tcPr>
          <w:p>
            <w:r/>
            <w:r>
              <w:rPr>
                <w:b w:val="0"/>
                <w:sz w:val="17"/>
              </w:rPr>
              <w:t>comprimido / gotas</w:t>
            </w:r>
          </w:p>
        </w:tc>
        <w:tc>
          <w:tcPr>
            <w:tcW w:type="dxa" w:w="3969"/>
            <w:tcMar>
              <w:top w:w="80" w:type="dxa"/>
              <w:bottom w:w="80" w:type="dxa"/>
              <w:start w:w="120" w:type="dxa"/>
              <w:end w:w="120" w:type="dxa"/>
            </w:tcMar>
            <w:shd w:val="clear" w:color="auto" w:fill="FAF6EF"/>
          </w:tcPr>
          <w:p>
            <w:r/>
            <w:r>
              <w:rPr>
                <w:b w:val="0"/>
                <w:sz w:val="17"/>
              </w:rPr>
              <w:t>800–2000 UI/día</w:t>
            </w:r>
          </w:p>
        </w:tc>
        <w:tc>
          <w:tcPr>
            <w:tcW w:type="dxa" w:w="1304"/>
            <w:tcMar>
              <w:top w:w="80" w:type="dxa"/>
              <w:bottom w:w="80" w:type="dxa"/>
              <w:start w:w="120" w:type="dxa"/>
              <w:end w:w="120" w:type="dxa"/>
            </w:tcMar>
            <w:shd w:val="clear" w:color="auto" w:fill="FAF6EF"/>
          </w:tcPr>
          <w:p>
            <w:r/>
            <w:r>
              <w:rPr>
                <w:b w:val="0"/>
                <w:sz w:val="17"/>
              </w:rPr>
              <w:t>suplemento</w:t>
            </w:r>
          </w:p>
        </w:tc>
      </w:tr>
      <w:tr>
        <w:trPr>
          <w:cantSplit w:val="true"/>
        </w:trPr>
        <w:tc>
          <w:tcPr>
            <w:tcW w:type="dxa" w:w="2608"/>
            <w:tcMar>
              <w:top w:w="80" w:type="dxa"/>
              <w:bottom w:w="80" w:type="dxa"/>
              <w:start w:w="120" w:type="dxa"/>
              <w:end w:w="120" w:type="dxa"/>
            </w:tcMar>
          </w:tcPr>
          <w:p>
            <w:r/>
            <w:r>
              <w:rPr>
                <w:b w:val="0"/>
                <w:sz w:val="17"/>
              </w:rPr>
              <w:t>Magnesio</w:t>
            </w:r>
          </w:p>
        </w:tc>
        <w:tc>
          <w:tcPr>
            <w:tcW w:type="dxa" w:w="1474"/>
            <w:tcMar>
              <w:top w:w="80" w:type="dxa"/>
              <w:bottom w:w="80" w:type="dxa"/>
              <w:start w:w="120" w:type="dxa"/>
              <w:end w:w="120" w:type="dxa"/>
            </w:tcMar>
          </w:tcPr>
          <w:p>
            <w:r/>
            <w:r>
              <w:rPr>
                <w:b w:val="0"/>
                <w:sz w:val="17"/>
              </w:rPr>
              <w:t>comprimido</w:t>
            </w:r>
          </w:p>
        </w:tc>
        <w:tc>
          <w:tcPr>
            <w:tcW w:type="dxa" w:w="3969"/>
            <w:tcMar>
              <w:top w:w="80" w:type="dxa"/>
              <w:bottom w:w="80" w:type="dxa"/>
              <w:start w:w="120" w:type="dxa"/>
              <w:end w:w="120" w:type="dxa"/>
            </w:tcMar>
          </w:tcPr>
          <w:p>
            <w:r/>
            <w:r>
              <w:rPr>
                <w:b w:val="0"/>
                <w:sz w:val="17"/>
              </w:rPr>
              <w:t>~200–400 mg de magnesio elemental/día</w:t>
            </w:r>
          </w:p>
        </w:tc>
        <w:tc>
          <w:tcPr>
            <w:tcW w:type="dxa" w:w="1304"/>
            <w:tcMar>
              <w:top w:w="80" w:type="dxa"/>
              <w:bottom w:w="80" w:type="dxa"/>
              <w:start w:w="120" w:type="dxa"/>
              <w:end w:w="120" w:type="dxa"/>
            </w:tcMar>
          </w:tcPr>
          <w:p>
            <w:r/>
            <w:r>
              <w:rPr>
                <w:b w:val="0"/>
                <w:sz w:val="17"/>
              </w:rPr>
              <w:t>suplemento</w:t>
            </w:r>
          </w:p>
        </w:tc>
      </w:tr>
      <w:tr>
        <w:trPr>
          <w:cantSplit w:val="true"/>
        </w:trPr>
        <w:tc>
          <w:tcPr>
            <w:tcW w:type="dxa" w:w="2608"/>
            <w:tcMar>
              <w:top w:w="80" w:type="dxa"/>
              <w:bottom w:w="80" w:type="dxa"/>
              <w:start w:w="120" w:type="dxa"/>
              <w:end w:w="120" w:type="dxa"/>
            </w:tcMar>
            <w:shd w:val="clear" w:color="auto" w:fill="FAF6EF"/>
          </w:tcPr>
          <w:p>
            <w:r/>
            <w:r>
              <w:rPr>
                <w:b w:val="0"/>
                <w:sz w:val="17"/>
              </w:rPr>
              <w:t>Semaglutida</w:t>
            </w:r>
          </w:p>
        </w:tc>
        <w:tc>
          <w:tcPr>
            <w:tcW w:type="dxa" w:w="1474"/>
            <w:tcMar>
              <w:top w:w="80" w:type="dxa"/>
              <w:bottom w:w="80" w:type="dxa"/>
              <w:start w:w="120" w:type="dxa"/>
              <w:end w:w="120" w:type="dxa"/>
            </w:tcMar>
            <w:shd w:val="clear" w:color="auto" w:fill="FAF6EF"/>
          </w:tcPr>
          <w:p>
            <w:r/>
            <w:r>
              <w:rPr>
                <w:b w:val="0"/>
                <w:sz w:val="17"/>
              </w:rPr>
              <w:t>inyección / comprimido</w:t>
            </w:r>
          </w:p>
        </w:tc>
        <w:tc>
          <w:tcPr>
            <w:tcW w:type="dxa" w:w="3969"/>
            <w:tcMar>
              <w:top w:w="80" w:type="dxa"/>
              <w:bottom w:w="80" w:type="dxa"/>
              <w:start w:w="120" w:type="dxa"/>
              <w:end w:w="120" w:type="dxa"/>
            </w:tcMar>
            <w:shd w:val="clear" w:color="auto" w:fill="FAF6EF"/>
          </w:tcPr>
          <w:p>
            <w:r/>
            <w:r>
              <w:rPr>
                <w:b w:val="0"/>
                <w:sz w:val="17"/>
              </w:rPr>
              <w:t>según el producto</w:t>
            </w:r>
          </w:p>
        </w:tc>
        <w:tc>
          <w:tcPr>
            <w:tcW w:type="dxa" w:w="1304"/>
            <w:tcMar>
              <w:top w:w="80" w:type="dxa"/>
              <w:bottom w:w="80" w:type="dxa"/>
              <w:start w:w="120" w:type="dxa"/>
              <w:end w:w="120" w:type="dxa"/>
            </w:tcMar>
            <w:shd w:val="clear" w:color="auto" w:fill="FAF6EF"/>
          </w:tcPr>
          <w:p>
            <w:r/>
            <w:r>
              <w:rPr>
                <w:b w:val="0"/>
                <w:sz w:val="17"/>
              </w:rPr>
              <w:t>metabólico</w:t>
            </w:r>
          </w:p>
        </w:tc>
      </w:tr>
      <w:tr>
        <w:trPr>
          <w:cantSplit w:val="true"/>
        </w:trPr>
        <w:tc>
          <w:tcPr>
            <w:tcW w:type="dxa" w:w="2608"/>
            <w:tcMar>
              <w:top w:w="80" w:type="dxa"/>
              <w:bottom w:w="80" w:type="dxa"/>
              <w:start w:w="120" w:type="dxa"/>
              <w:end w:w="120" w:type="dxa"/>
            </w:tcMar>
          </w:tcPr>
          <w:p>
            <w:r/>
            <w:r>
              <w:rPr>
                <w:b w:val="0"/>
                <w:sz w:val="17"/>
              </w:rPr>
              <w:t>Dulaglutida</w:t>
            </w:r>
          </w:p>
        </w:tc>
        <w:tc>
          <w:tcPr>
            <w:tcW w:type="dxa" w:w="1474"/>
            <w:tcMar>
              <w:top w:w="80" w:type="dxa"/>
              <w:bottom w:w="80" w:type="dxa"/>
              <w:start w:w="120" w:type="dxa"/>
              <w:end w:w="120" w:type="dxa"/>
            </w:tcMar>
          </w:tcPr>
          <w:p>
            <w:r/>
            <w:r>
              <w:rPr>
                <w:b w:val="0"/>
                <w:sz w:val="17"/>
              </w:rPr>
              <w:t>inyección</w:t>
            </w:r>
          </w:p>
        </w:tc>
        <w:tc>
          <w:tcPr>
            <w:tcW w:type="dxa" w:w="3969"/>
            <w:tcMar>
              <w:top w:w="80" w:type="dxa"/>
              <w:bottom w:w="80" w:type="dxa"/>
              <w:start w:w="120" w:type="dxa"/>
              <w:end w:w="120" w:type="dxa"/>
            </w:tcMar>
          </w:tcPr>
          <w:p>
            <w:r/>
            <w:r>
              <w:rPr>
                <w:b w:val="0"/>
                <w:sz w:val="17"/>
              </w:rPr>
              <w:t>según el producto</w:t>
            </w:r>
          </w:p>
        </w:tc>
        <w:tc>
          <w:tcPr>
            <w:tcW w:type="dxa" w:w="1304"/>
            <w:tcMar>
              <w:top w:w="80" w:type="dxa"/>
              <w:bottom w:w="80" w:type="dxa"/>
              <w:start w:w="120" w:type="dxa"/>
              <w:end w:w="120" w:type="dxa"/>
            </w:tcMar>
          </w:tcPr>
          <w:p>
            <w:r/>
            <w:r>
              <w:rPr>
                <w:b w:val="0"/>
                <w:sz w:val="17"/>
              </w:rPr>
              <w:t>metabólico</w:t>
            </w:r>
          </w:p>
        </w:tc>
      </w:tr>
      <w:tr>
        <w:trPr>
          <w:cantSplit w:val="true"/>
        </w:trPr>
        <w:tc>
          <w:tcPr>
            <w:tcW w:type="dxa" w:w="2608"/>
            <w:tcMar>
              <w:top w:w="80" w:type="dxa"/>
              <w:bottom w:w="80" w:type="dxa"/>
              <w:start w:w="120" w:type="dxa"/>
              <w:end w:w="120" w:type="dxa"/>
            </w:tcMar>
            <w:shd w:val="clear" w:color="auto" w:fill="FAF6EF"/>
          </w:tcPr>
          <w:p>
            <w:r/>
            <w:r>
              <w:rPr>
                <w:b w:val="0"/>
                <w:sz w:val="17"/>
              </w:rPr>
              <w:t>Liraglutida</w:t>
            </w:r>
          </w:p>
        </w:tc>
        <w:tc>
          <w:tcPr>
            <w:tcW w:type="dxa" w:w="1474"/>
            <w:tcMar>
              <w:top w:w="80" w:type="dxa"/>
              <w:bottom w:w="80" w:type="dxa"/>
              <w:start w:w="120" w:type="dxa"/>
              <w:end w:w="120" w:type="dxa"/>
            </w:tcMar>
            <w:shd w:val="clear" w:color="auto" w:fill="FAF6EF"/>
          </w:tcPr>
          <w:p>
            <w:r/>
            <w:r>
              <w:rPr>
                <w:b w:val="0"/>
                <w:sz w:val="17"/>
              </w:rPr>
              <w:t>inyección</w:t>
            </w:r>
          </w:p>
        </w:tc>
        <w:tc>
          <w:tcPr>
            <w:tcW w:type="dxa" w:w="3969"/>
            <w:tcMar>
              <w:top w:w="80" w:type="dxa"/>
              <w:bottom w:w="80" w:type="dxa"/>
              <w:start w:w="120" w:type="dxa"/>
              <w:end w:w="120" w:type="dxa"/>
            </w:tcMar>
            <w:shd w:val="clear" w:color="auto" w:fill="FAF6EF"/>
          </w:tcPr>
          <w:p>
            <w:r/>
            <w:r>
              <w:rPr>
                <w:b w:val="0"/>
                <w:sz w:val="17"/>
              </w:rPr>
              <w:t>según el producto</w:t>
            </w:r>
          </w:p>
        </w:tc>
        <w:tc>
          <w:tcPr>
            <w:tcW w:type="dxa" w:w="1304"/>
            <w:tcMar>
              <w:top w:w="80" w:type="dxa"/>
              <w:bottom w:w="80" w:type="dxa"/>
              <w:start w:w="120" w:type="dxa"/>
              <w:end w:w="120" w:type="dxa"/>
            </w:tcMar>
            <w:shd w:val="clear" w:color="auto" w:fill="FAF6EF"/>
          </w:tcPr>
          <w:p>
            <w:r/>
            <w:r>
              <w:rPr>
                <w:b w:val="0"/>
                <w:sz w:val="17"/>
              </w:rPr>
              <w:t>metabólico</w:t>
            </w:r>
          </w:p>
        </w:tc>
      </w:tr>
      <w:tr>
        <w:trPr>
          <w:cantSplit w:val="true"/>
        </w:trPr>
        <w:tc>
          <w:tcPr>
            <w:tcW w:type="dxa" w:w="2608"/>
            <w:tcMar>
              <w:top w:w="80" w:type="dxa"/>
              <w:bottom w:w="80" w:type="dxa"/>
              <w:start w:w="120" w:type="dxa"/>
              <w:end w:w="120" w:type="dxa"/>
            </w:tcMar>
          </w:tcPr>
          <w:p>
            <w:r/>
            <w:r>
              <w:rPr>
                <w:b w:val="0"/>
                <w:sz w:val="17"/>
              </w:rPr>
              <w:t>Exenatida</w:t>
            </w:r>
          </w:p>
        </w:tc>
        <w:tc>
          <w:tcPr>
            <w:tcW w:type="dxa" w:w="1474"/>
            <w:tcMar>
              <w:top w:w="80" w:type="dxa"/>
              <w:bottom w:w="80" w:type="dxa"/>
              <w:start w:w="120" w:type="dxa"/>
              <w:end w:w="120" w:type="dxa"/>
            </w:tcMar>
          </w:tcPr>
          <w:p>
            <w:r/>
            <w:r>
              <w:rPr>
                <w:b w:val="0"/>
                <w:sz w:val="17"/>
              </w:rPr>
              <w:t>inyección</w:t>
            </w:r>
          </w:p>
        </w:tc>
        <w:tc>
          <w:tcPr>
            <w:tcW w:type="dxa" w:w="3969"/>
            <w:tcMar>
              <w:top w:w="80" w:type="dxa"/>
              <w:bottom w:w="80" w:type="dxa"/>
              <w:start w:w="120" w:type="dxa"/>
              <w:end w:w="120" w:type="dxa"/>
            </w:tcMar>
          </w:tcPr>
          <w:p>
            <w:r/>
            <w:r>
              <w:rPr>
                <w:b w:val="0"/>
                <w:sz w:val="17"/>
              </w:rPr>
              <w:t>según el producto</w:t>
            </w:r>
          </w:p>
        </w:tc>
        <w:tc>
          <w:tcPr>
            <w:tcW w:type="dxa" w:w="1304"/>
            <w:tcMar>
              <w:top w:w="80" w:type="dxa"/>
              <w:bottom w:w="80" w:type="dxa"/>
              <w:start w:w="120" w:type="dxa"/>
              <w:end w:w="120" w:type="dxa"/>
            </w:tcMar>
          </w:tcPr>
          <w:p>
            <w:r/>
            <w:r>
              <w:rPr>
                <w:b w:val="0"/>
                <w:sz w:val="17"/>
              </w:rPr>
              <w:t>metabólico</w:t>
            </w:r>
          </w:p>
        </w:tc>
      </w:tr>
      <w:tr>
        <w:trPr>
          <w:cantSplit w:val="true"/>
        </w:trPr>
        <w:tc>
          <w:tcPr>
            <w:tcW w:type="dxa" w:w="2608"/>
            <w:tcMar>
              <w:top w:w="80" w:type="dxa"/>
              <w:bottom w:w="80" w:type="dxa"/>
              <w:start w:w="120" w:type="dxa"/>
              <w:end w:w="120" w:type="dxa"/>
            </w:tcMar>
            <w:shd w:val="clear" w:color="auto" w:fill="FAF6EF"/>
          </w:tcPr>
          <w:p>
            <w:r/>
            <w:r>
              <w:rPr>
                <w:b w:val="0"/>
                <w:sz w:val="17"/>
              </w:rPr>
              <w:t>Lixisenatida</w:t>
            </w:r>
          </w:p>
        </w:tc>
        <w:tc>
          <w:tcPr>
            <w:tcW w:type="dxa" w:w="1474"/>
            <w:tcMar>
              <w:top w:w="80" w:type="dxa"/>
              <w:bottom w:w="80" w:type="dxa"/>
              <w:start w:w="120" w:type="dxa"/>
              <w:end w:w="120" w:type="dxa"/>
            </w:tcMar>
            <w:shd w:val="clear" w:color="auto" w:fill="FAF6EF"/>
          </w:tcPr>
          <w:p>
            <w:r/>
            <w:r>
              <w:rPr>
                <w:b w:val="0"/>
                <w:sz w:val="17"/>
              </w:rPr>
              <w:t>inyección</w:t>
            </w:r>
          </w:p>
        </w:tc>
        <w:tc>
          <w:tcPr>
            <w:tcW w:type="dxa" w:w="3969"/>
            <w:tcMar>
              <w:top w:w="80" w:type="dxa"/>
              <w:bottom w:w="80" w:type="dxa"/>
              <w:start w:w="120" w:type="dxa"/>
              <w:end w:w="120" w:type="dxa"/>
            </w:tcMar>
            <w:shd w:val="clear" w:color="auto" w:fill="FAF6EF"/>
          </w:tcPr>
          <w:p>
            <w:r/>
            <w:r>
              <w:rPr>
                <w:b w:val="0"/>
                <w:sz w:val="17"/>
              </w:rPr>
              <w:t>según el producto</w:t>
            </w:r>
          </w:p>
        </w:tc>
        <w:tc>
          <w:tcPr>
            <w:tcW w:type="dxa" w:w="1304"/>
            <w:tcMar>
              <w:top w:w="80" w:type="dxa"/>
              <w:bottom w:w="80" w:type="dxa"/>
              <w:start w:w="120" w:type="dxa"/>
              <w:end w:w="120" w:type="dxa"/>
            </w:tcMar>
            <w:shd w:val="clear" w:color="auto" w:fill="FAF6EF"/>
          </w:tcPr>
          <w:p>
            <w:r/>
            <w:r>
              <w:rPr>
                <w:b w:val="0"/>
                <w:sz w:val="17"/>
              </w:rPr>
              <w:t>metabólico</w:t>
            </w:r>
          </w:p>
        </w:tc>
      </w:tr>
      <w:tr>
        <w:trPr>
          <w:cantSplit w:val="true"/>
        </w:trPr>
        <w:tc>
          <w:tcPr>
            <w:tcW w:type="dxa" w:w="2608"/>
            <w:tcMar>
              <w:top w:w="80" w:type="dxa"/>
              <w:bottom w:w="80" w:type="dxa"/>
              <w:start w:w="120" w:type="dxa"/>
              <w:end w:w="120" w:type="dxa"/>
            </w:tcMar>
          </w:tcPr>
          <w:p>
            <w:r/>
            <w:r>
              <w:rPr>
                <w:b w:val="0"/>
                <w:sz w:val="17"/>
              </w:rPr>
              <w:t>Tirzepatida</w:t>
            </w:r>
          </w:p>
        </w:tc>
        <w:tc>
          <w:tcPr>
            <w:tcW w:type="dxa" w:w="1474"/>
            <w:tcMar>
              <w:top w:w="80" w:type="dxa"/>
              <w:bottom w:w="80" w:type="dxa"/>
              <w:start w:w="120" w:type="dxa"/>
              <w:end w:w="120" w:type="dxa"/>
            </w:tcMar>
          </w:tcPr>
          <w:p>
            <w:r/>
            <w:r>
              <w:rPr>
                <w:b w:val="0"/>
                <w:sz w:val="17"/>
              </w:rPr>
              <w:t>inyección</w:t>
            </w:r>
          </w:p>
        </w:tc>
        <w:tc>
          <w:tcPr>
            <w:tcW w:type="dxa" w:w="3969"/>
            <w:tcMar>
              <w:top w:w="80" w:type="dxa"/>
              <w:bottom w:w="80" w:type="dxa"/>
              <w:start w:w="120" w:type="dxa"/>
              <w:end w:w="120" w:type="dxa"/>
            </w:tcMar>
          </w:tcPr>
          <w:p>
            <w:r/>
            <w:r>
              <w:rPr>
                <w:b w:val="0"/>
                <w:sz w:val="17"/>
              </w:rPr>
              <w:t>según el producto</w:t>
            </w:r>
          </w:p>
        </w:tc>
        <w:tc>
          <w:tcPr>
            <w:tcW w:type="dxa" w:w="1304"/>
            <w:tcMar>
              <w:top w:w="80" w:type="dxa"/>
              <w:bottom w:w="80" w:type="dxa"/>
              <w:start w:w="120" w:type="dxa"/>
              <w:end w:w="120" w:type="dxa"/>
            </w:tcMar>
          </w:tcPr>
          <w:p>
            <w:r/>
            <w:r>
              <w:rPr>
                <w:b w:val="0"/>
                <w:sz w:val="17"/>
              </w:rPr>
              <w:t>metabólico</w:t>
            </w:r>
          </w:p>
        </w:tc>
      </w:tr>
    </w:tbl>
    <w:p>
      <w:pPr>
        <w:spacing w:after="40"/>
      </w:pPr>
    </w:p>
    <w:p>
      <w:pPr>
        <w:pStyle w:val="ListBullet"/>
        <w:spacing w:after="60"/>
      </w:pPr>
      <w:r>
        <w:rPr>
          <w:b/>
        </w:rPr>
        <w:t>Categorías:</w:t>
      </w:r>
      <w:r>
        <w:rPr>
          <w:b w:val="0"/>
        </w:rPr>
        <w:t xml:space="preserve"> hormonal · dolor · suplemento · </w:t>
      </w:r>
      <w:r>
        <w:rPr>
          <w:b/>
        </w:rPr>
        <w:t>sangrado</w:t>
      </w:r>
      <w:r>
        <w:rPr>
          <w:b w:val="0"/>
        </w:rPr>
        <w:t xml:space="preserve"> · </w:t>
      </w:r>
      <w:r>
        <w:rPr>
          <w:b/>
        </w:rPr>
        <w:t>metabólico</w:t>
      </w:r>
      <w:r>
        <w:rPr>
          <w:b w:val="0"/>
        </w:rPr>
        <w:t xml:space="preserve"> (las dos últimas son una ampliación propuesta por Carolina).</w:t>
      </w:r>
    </w:p>
    <w:p>
      <w:pPr>
        <w:pStyle w:val="ListBullet"/>
        <w:spacing w:after="60"/>
      </w:pPr>
      <w:r>
        <w:rPr>
          <w:b w:val="0"/>
        </w:rPr>
        <w:t>Los agonistas de GLP-1 se incluyen en la lista por la decisión del punto C-08. Cada medicamento lleva su código ATC de la OMS, verificado.</w:t>
      </w:r>
    </w:p>
    <w:p>
      <w:pPr>
        <w:spacing w:after="80"/>
      </w:pPr>
      <w:r>
        <w:rPr>
          <w:b/>
          <w:color w:val="8A6F5E"/>
          <w:sz w:val="18"/>
        </w:rPr>
        <w:t xml:space="preserve">En qué se basa: </w:t>
      </w:r>
      <w:r>
        <w:rPr>
          <w:color w:val="8A6F5E"/>
          <w:sz w:val="18"/>
        </w:rPr>
        <w:t>Índice ATC/DDD de la OMS (2025/26); ESHRE 2022; NICE NG73 y NG88; fichas técnicas (Visanne, Lupron, Orilissa, Ryeqo).</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¿Son correctos los </w:t>
            </w:r>
            <w:r>
              <w:rPr>
                <w:b/>
                <w:sz w:val="21"/>
              </w:rPr>
              <w:t>nombres y las dosis típicas</w:t>
            </w:r>
            <w:r>
              <w:rPr>
                <w:b w:val="0"/>
                <w:sz w:val="21"/>
              </w:rPr>
              <w:t>? ¿</w:t>
            </w:r>
            <w:r>
              <w:rPr>
                <w:b/>
                <w:sz w:val="21"/>
              </w:rPr>
              <w:t>Falta algún medicamento</w:t>
            </w:r>
            <w:r>
              <w:rPr>
                <w:b w:val="0"/>
                <w:sz w:val="21"/>
              </w:rPr>
              <w:t xml:space="preserve"> que use con frecuencia en su práctica, o </w:t>
            </w:r>
            <w:r>
              <w:rPr>
                <w:b/>
                <w:sz w:val="21"/>
              </w:rPr>
              <w:t>sobra alguno</w:t>
            </w:r>
            <w:r>
              <w:rPr>
                <w:b w:val="0"/>
                <w:sz w:val="21"/>
              </w:rPr>
              <w:t xml:space="preserve">? ¿Le parecen bien las </w:t>
            </w:r>
            <w:r>
              <w:rPr>
                <w:b/>
                <w:sz w:val="21"/>
              </w:rPr>
              <w:t>cinco categorías</w:t>
            </w:r>
            <w:r>
              <w:rPr>
                <w:b w:val="0"/>
                <w:sz w:val="21"/>
              </w:rPr>
              <w:t>?</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C-14  </w:t>
      </w:r>
      <w:r>
        <w:t>Estadios de la endometriosis, lista de cirugías y vocabulario de síntomas</w:t>
      </w:r>
    </w:p>
    <w:p>
      <w:pPr>
        <w:spacing w:after="40"/>
      </w:pPr>
      <w:r>
        <w:rPr>
          <w:i/>
          <w:color w:val="8A6F5E"/>
          <w:sz w:val="18"/>
        </w:rPr>
        <w:t>Perfil de la paciente  ·  Informe para el médico  ·  Formulario de síntomas</w:t>
      </w:r>
    </w:p>
    <w:p>
      <w:pPr>
        <w:keepNext/>
        <w:spacing w:before="160" w:after="40"/>
      </w:pPr>
      <w:r>
        <w:rPr>
          <w:b/>
          <w:color w:val="C25A36"/>
          <w:sz w:val="18"/>
        </w:rPr>
        <w:t>¿PARA QUÉ SE USA EN LA APP?</w:t>
      </w:r>
    </w:p>
    <w:p>
      <w:pPr>
        <w:spacing w:after="80"/>
      </w:pPr>
      <w:r>
        <w:rPr>
          <w:b w:val="0"/>
        </w:rPr>
        <w:t>En su perfil, la paciente puede indicar —si lo sabe— el estadio de su endometriosis y las cirugías que ha tenido; esos datos van al informe para el médico. La aplicación no los deduce ni los usa para alarmar (nunca dice «estadio alto = peor»).</w:t>
      </w:r>
    </w:p>
    <w:p>
      <w:pPr>
        <w:spacing w:after="80"/>
      </w:pPr>
      <w:r>
        <w:rPr>
          <w:b w:val="0"/>
        </w:rPr>
        <w:t>También se revisó el vocabulario de síntomas y desencadenantes que la paciente puede anotar en el registro diario y en el formulario de síntomas.</w:t>
      </w:r>
    </w:p>
    <w:p>
      <w:pPr>
        <w:spacing w:after="80"/>
      </w:pPr>
      <w:r>
        <w:rPr>
          <w:b w:val="0"/>
        </w:rPr>
        <w:t>Estado actual: el estadio (I–IV, opcional) y el vocabulario de síntomas ya están en la aplicación; la lista de cirugías se construirá más adelante.</w:t>
      </w:r>
    </w:p>
    <w:p>
      <w:pPr>
        <w:keepNext/>
        <w:spacing w:before="160" w:after="40"/>
      </w:pPr>
      <w:r>
        <w:rPr>
          <w:b/>
          <w:color w:val="C25A36"/>
          <w:sz w:val="18"/>
        </w:rPr>
        <w:t>DECISIÓN PROVISIONAL DE CAROLINA (RESPONSABLE DEL PRODUCTO)</w:t>
      </w:r>
    </w:p>
    <w:p>
      <w:pPr>
        <w:pStyle w:val="ListBullet"/>
        <w:spacing w:after="60"/>
      </w:pPr>
      <w:r>
        <w:rPr>
          <w:b/>
        </w:rPr>
        <w:t>Estadios rASRM I–IV:</w:t>
      </w:r>
      <w:r>
        <w:rPr>
          <w:b w:val="0"/>
        </w:rPr>
        <w:t xml:space="preserve"> I mínima (1–5 puntos) · II leve (6–15) · III moderada (16–40) · IV severa (más de 40). Lo introduce la paciente, es </w:t>
      </w:r>
      <w:r>
        <w:rPr>
          <w:b/>
        </w:rPr>
        <w:t>opcional</w:t>
      </w:r>
      <w:r>
        <w:rPr>
          <w:b w:val="0"/>
        </w:rPr>
        <w:t xml:space="preserve">, la aplicación </w:t>
      </w:r>
      <w:r>
        <w:rPr>
          <w:b/>
        </w:rPr>
        <w:t>nunca lo deduce</w:t>
      </w:r>
      <w:r>
        <w:rPr>
          <w:b w:val="0"/>
        </w:rPr>
        <w:t xml:space="preserve"> y </w:t>
      </w:r>
      <w:r>
        <w:rPr>
          <w:b/>
        </w:rPr>
        <w:t>no lo relaciona con el dolor</w:t>
      </w:r>
      <w:r>
        <w:rPr>
          <w:b w:val="0"/>
        </w:rPr>
        <w:t>. La clasificación #Enzian queda para una versión futura (por ahora, texto libre opcional).</w:t>
      </w:r>
    </w:p>
    <w:p>
      <w:pPr>
        <w:pStyle w:val="ListBullet"/>
        <w:spacing w:after="60"/>
      </w:pPr>
      <w:r>
        <w:rPr>
          <w:b/>
        </w:rPr>
        <w:t>Lista de cirugías</w:t>
      </w:r>
      <w:r>
        <w:rPr>
          <w:b w:val="0"/>
        </w:rPr>
        <w:t xml:space="preserve"> (se pueden marcar varias, más «otra»): laparoscopia diagnóstica · escisión · ablación/fulguración · quistectomía de endometrioma · adhesiólisis · histerectomía · ooforectomía · resección intestinal · ureterólisis. Se mantienen separadas «escisión» y «ablación». La vía de abordaje (laparoscópica, abierta, robótica) queda para más adelante.</w:t>
      </w:r>
    </w:p>
    <w:p>
      <w:pPr>
        <w:pStyle w:val="ListBullet"/>
        <w:spacing w:after="60"/>
      </w:pPr>
      <w:r>
        <w:rPr>
          <w:b/>
        </w:rPr>
        <w:t>Vocabulario de síntomas:</w:t>
      </w:r>
      <w:r>
        <w:rPr>
          <w:b w:val="0"/>
        </w:rPr>
        <w:t xml:space="preserve"> se </w:t>
      </w:r>
      <w:r>
        <w:rPr>
          <w:b/>
        </w:rPr>
        <w:t>mantiene «dolor en pecho u hombro»</w:t>
      </w:r>
      <w:r>
        <w:rPr>
          <w:b w:val="0"/>
        </w:rPr>
        <w:t xml:space="preserve"> (la endometriosis torácica o diafragmática existe); se usa </w:t>
      </w:r>
      <w:r>
        <w:rPr>
          <w:b/>
        </w:rPr>
        <w:t>«ánimo bajo»</w:t>
      </w:r>
      <w:r>
        <w:rPr>
          <w:b w:val="0"/>
        </w:rPr>
        <w:t xml:space="preserve"> en lugar de «depresión» (no es un cribado); los desencadenantes (esfuerzo físico, mal sueño, clima) se tratan como coincidencias, nunca como causas; </w:t>
      </w:r>
      <w:r>
        <w:rPr>
          <w:b/>
        </w:rPr>
        <w:t>«sangrado menstrual abundante»</w:t>
      </w:r>
      <w:r>
        <w:rPr>
          <w:b w:val="0"/>
        </w:rPr>
        <w:t xml:space="preserve"> es una casilla independiente (término FIGO) que no se duplica con el nivel 4 de la escala de sangrado, y su umbral de alarma se define junto con el punto C-15.</w:t>
      </w:r>
    </w:p>
    <w:p>
      <w:pPr>
        <w:spacing w:after="80"/>
      </w:pPr>
      <w:r>
        <w:rPr>
          <w:b/>
          <w:color w:val="8A6F5E"/>
          <w:sz w:val="18"/>
        </w:rPr>
        <w:t xml:space="preserve">En qué se basa: </w:t>
      </w:r>
      <w:r>
        <w:rPr>
          <w:color w:val="8A6F5E"/>
          <w:sz w:val="18"/>
        </w:rPr>
        <w:t>Clasificación revisada de la ASRM (1996/1997, Fertility and Sterility 67:817–21); ESHRE 2022; Keckstein, #Enzian 2021; FIGO 2018; literatura sobre endometriosis torácica (Nezhat 2024).</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¿Son correctos los </w:t>
            </w:r>
            <w:r>
              <w:rPr>
                <w:b/>
                <w:sz w:val="21"/>
              </w:rPr>
              <w:t>estadios</w:t>
            </w:r>
            <w:r>
              <w:rPr>
                <w:b w:val="0"/>
                <w:sz w:val="21"/>
              </w:rPr>
              <w:t xml:space="preserve"> y la </w:t>
            </w:r>
            <w:r>
              <w:rPr>
                <w:b/>
                <w:sz w:val="21"/>
              </w:rPr>
              <w:t>lista de cirugías</w:t>
            </w:r>
            <w:r>
              <w:rPr>
                <w:b w:val="0"/>
                <w:sz w:val="21"/>
              </w:rPr>
              <w:t xml:space="preserve">? ¿Falta algún procedimiento o síntoma habitual en su práctica? ¿Está de acuerdo con usar </w:t>
            </w:r>
            <w:r>
              <w:rPr>
                <w:b/>
                <w:sz w:val="21"/>
              </w:rPr>
              <w:t>«ánimo bajo»</w:t>
            </w:r>
            <w:r>
              <w:rPr>
                <w:b w:val="0"/>
                <w:sz w:val="21"/>
              </w:rPr>
              <w:t xml:space="preserve"> y con mantener </w:t>
            </w:r>
            <w:r>
              <w:rPr>
                <w:b/>
                <w:sz w:val="21"/>
              </w:rPr>
              <w:t>«dolor en pecho u hombro»</w:t>
            </w:r>
            <w:r>
              <w:rPr>
                <w:b w:val="0"/>
                <w:sz w:val="21"/>
              </w:rPr>
              <w:t>?</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C-15  </w:t>
      </w:r>
      <w:r>
        <w:t>Avisos ante síntomas de alarma</w:t>
      </w:r>
    </w:p>
    <w:p>
      <w:pPr>
        <w:spacing w:after="40"/>
      </w:pPr>
      <w:r>
        <w:rPr>
          <w:i/>
          <w:color w:val="8A6F5E"/>
          <w:sz w:val="18"/>
        </w:rPr>
        <w:t>Registro diario  ·  Formulario de síntomas  ·  SEGURIDAD — lo revisa también el equipo legal</w:t>
      </w:r>
    </w:p>
    <w:p>
      <w:pPr>
        <w:keepNext/>
        <w:spacing w:before="160" w:after="40"/>
      </w:pPr>
      <w:r>
        <w:rPr>
          <w:b/>
          <w:color w:val="C25A36"/>
          <w:sz w:val="18"/>
        </w:rPr>
        <w:t>¿PARA QUÉ SE USA EN LA APP?</w:t>
      </w:r>
    </w:p>
    <w:p>
      <w:pPr>
        <w:spacing w:after="80"/>
      </w:pPr>
      <w:r>
        <w:rPr>
          <w:b w:val="0"/>
        </w:rPr>
        <w:t xml:space="preserve">Si la paciente anota ciertos síntomas, la aplicación muestra, </w:t>
      </w:r>
      <w:r>
        <w:rPr>
          <w:b/>
        </w:rPr>
        <w:t>después de guardar</w:t>
      </w:r>
      <w:r>
        <w:rPr>
          <w:b w:val="0"/>
        </w:rPr>
        <w:t>, una nota breve y en tono calmado que le sugiere consultar. No bloquea nada, no diagnostica, no nombra ninguna enfermedad, se puede cerrar y aparece como máximo una vez por cada anotación que la dispare. Ocurre en el registro diario y en el formulario de síntomas.</w:t>
      </w:r>
    </w:p>
    <w:p>
      <w:pPr>
        <w:spacing w:after="80"/>
      </w:pPr>
      <w:r>
        <w:rPr>
          <w:b w:val="0"/>
        </w:rPr>
        <w:t>Estado actual: no está construido; se construirá solo cuando usted y el equipo legal lo validen.</w:t>
      </w:r>
    </w:p>
    <w:p>
      <w:pPr>
        <w:keepNext/>
        <w:spacing w:before="160" w:after="40"/>
      </w:pPr>
      <w:r>
        <w:rPr>
          <w:b/>
          <w:color w:val="C25A36"/>
          <w:sz w:val="18"/>
        </w:rPr>
        <w:t>DECISIÓN PROVISIONAL DE CAROLINA (RESPONSABLE DEL PRODUCTO)</w:t>
      </w:r>
    </w:p>
    <w:p>
      <w:pPr>
        <w:spacing w:after="80"/>
      </w:pPr>
      <w:r>
        <w:rPr>
          <w:b/>
        </w:rPr>
        <w:t>Pie fijo</w:t>
      </w:r>
      <w:r>
        <w:rPr>
          <w:b w:val="0"/>
        </w:rPr>
        <w:t xml:space="preserve"> que acompaña a todos los avisos (texto literal):</w:t>
      </w:r>
    </w:p>
    <w:p>
      <w:pPr>
        <w:spacing w:after="80"/>
        <w:ind w:left="454"/>
      </w:pPr>
      <w:r>
        <w:rPr>
          <w:b w:val="0"/>
          <w:i/>
          <w:sz w:val="20"/>
        </w:rPr>
        <w:t>«Lumen no es un servicio médico ni de emergencias y no puede evaluar tus síntomas. Si estás preocupada, contacta a tu médico o a un servicio de urgencias; y si parece una emergencia, llama de inmediato al número de emergencias de tu zona.»</w:t>
      </w:r>
    </w:p>
    <w:p>
      <w:pPr>
        <w:spacing w:after="80"/>
      </w:pPr>
      <w:r>
        <w:rPr>
          <w:b/>
        </w:rPr>
        <w:t>Las seis situaciones que disparan el aviso, y el texto de cada una:</w:t>
      </w:r>
    </w:p>
    <w:p>
      <w:pPr>
        <w:pStyle w:val="ListNumber"/>
        <w:numPr>
          <w:ilvl w:val="0"/>
          <w:numId w:val="13"/>
        </w:numPr>
        <w:spacing w:after="60"/>
      </w:pPr>
      <w:r>
        <w:rPr>
          <w:b/>
        </w:rPr>
        <w:t>Dolor en el máximo de la escala (10 de 10):</w:t>
      </w:r>
      <w:r>
        <w:rPr>
          <w:b w:val="0"/>
        </w:rPr>
        <w:t xml:space="preserve"> «Anotaste un dolor en lo más alto de la escala. Un dolor tan intenso —sobre todo si es repentino o el peor que hayas sentido— merece una revisión pronto.»</w:t>
      </w:r>
    </w:p>
    <w:p>
      <w:pPr>
        <w:pStyle w:val="ListNumber"/>
        <w:numPr>
          <w:ilvl w:val="0"/>
          <w:numId w:val="13"/>
        </w:numPr>
        <w:spacing w:after="60"/>
      </w:pPr>
      <w:r>
        <w:rPr>
          <w:b/>
        </w:rPr>
        <w:t>Sangrado muy abundante</w:t>
      </w:r>
      <w:r>
        <w:rPr>
          <w:b w:val="0"/>
        </w:rPr>
        <w:t xml:space="preserve"> (el nivel máximo de la escala, o empapar una toalla o tampón por hora durante 2 horas o más, o coágulos más grandes que una moneda, ≈ 2,5 cm): «Anotaste un sangrado muy abundante. Empapar una toalla o tampón cada hora durante un par de horas seguidas, o expulsar coágulos más grandes que una moneda, merece una revisión.»</w:t>
      </w:r>
    </w:p>
    <w:p>
      <w:pPr>
        <w:pStyle w:val="ListNumber"/>
        <w:numPr>
          <w:ilvl w:val="0"/>
          <w:numId w:val="13"/>
        </w:numPr>
        <w:spacing w:after="60"/>
      </w:pPr>
      <w:r>
        <w:rPr>
          <w:b/>
        </w:rPr>
        <w:t>Fiebre de 38,0 °C o más junto con dolor pélvico:</w:t>
      </w:r>
      <w:r>
        <w:rPr>
          <w:b w:val="0"/>
        </w:rPr>
        <w:t xml:space="preserve"> «Anotaste fiebre junto con dolor pélvico. Esa combinación merece una revisión pronto.»</w:t>
      </w:r>
    </w:p>
    <w:p>
      <w:pPr>
        <w:pStyle w:val="ListNumber"/>
        <w:numPr>
          <w:ilvl w:val="0"/>
          <w:numId w:val="13"/>
        </w:numPr>
        <w:spacing w:after="60"/>
      </w:pPr>
      <w:r>
        <w:rPr>
          <w:b/>
        </w:rPr>
        <w:t>Desmayo o sensación de desmayo:</w:t>
      </w:r>
      <w:r>
        <w:rPr>
          <w:b w:val="0"/>
        </w:rPr>
        <w:t xml:space="preserve"> «Anotaste sensación de desmayo o pérdida de conocimiento. Merece una revisión, sobre todo si va acompañado de dolor o de sangrado abundante.»</w:t>
      </w:r>
    </w:p>
    <w:p>
      <w:pPr>
        <w:pStyle w:val="ListNumber"/>
        <w:numPr>
          <w:ilvl w:val="0"/>
          <w:numId w:val="13"/>
        </w:numPr>
        <w:spacing w:after="60"/>
      </w:pPr>
      <w:r>
        <w:rPr>
          <w:b/>
        </w:rPr>
        <w:t>Dolor intenso cuando no se ha descartado un embarazo:</w:t>
      </w:r>
      <w:r>
        <w:rPr>
          <w:b w:val="0"/>
        </w:rPr>
        <w:t xml:space="preserve"> «Anotaste dolor intenso y existe la posibilidad de que estés embarazada. Si lo estás, un dolor repentino o de un solo lado puede ser una emergencia y debe revisarse con urgencia.»</w:t>
      </w:r>
    </w:p>
    <w:p>
      <w:pPr>
        <w:pStyle w:val="ListNumber"/>
        <w:numPr>
          <w:ilvl w:val="0"/>
          <w:numId w:val="13"/>
        </w:numPr>
        <w:spacing w:after="60"/>
      </w:pPr>
      <w:r>
        <w:rPr>
          <w:b/>
        </w:rPr>
        <w:t>No poder orinar o evacuar:</w:t>
      </w:r>
      <w:r>
        <w:rPr>
          <w:b w:val="0"/>
        </w:rPr>
        <w:t xml:space="preserve"> «Anotaste que no puedes orinar (o evacuar). Esto puede ser grave; por favor, hazlo revisar de inmediato.»</w:t>
      </w:r>
    </w:p>
    <w:p>
      <w:pPr>
        <w:pStyle w:val="ListBullet"/>
        <w:spacing w:after="60"/>
      </w:pPr>
      <w:r>
        <w:rPr>
          <w:b w:val="0"/>
        </w:rPr>
        <w:t xml:space="preserve">La fiebre dispara el aviso desde </w:t>
      </w:r>
      <w:r>
        <w:rPr>
          <w:b/>
        </w:rPr>
        <w:t>38,0 °C</w:t>
      </w:r>
      <w:r>
        <w:rPr>
          <w:b w:val="0"/>
        </w:rPr>
        <w:t xml:space="preserve"> (el marcador de urgencia de la enfermedad inflamatoria pélvica es 38,3 °C; se eligió el umbral más bajo a propósito).</w:t>
      </w:r>
    </w:p>
    <w:p>
      <w:pPr>
        <w:pStyle w:val="ListBullet"/>
        <w:spacing w:after="60"/>
      </w:pPr>
      <w:r>
        <w:rPr>
          <w:b w:val="0"/>
        </w:rPr>
        <w:t>El tamaño de coágulo «≈ 2,5 cm» se mantiene en todos los idiomas.</w:t>
      </w:r>
    </w:p>
    <w:tbl>
      <w:tblPr>
        <w:tblW w:type="auto" w:w="0"/>
        <w:jc w:val="center"/>
        <w:tblLayout w:type="fixed"/>
        <w:tblLook w:firstColumn="1" w:firstRow="1" w:lastColumn="0" w:lastRow="0" w:noHBand="0" w:noVBand="1" w:val="04A0"/>
        <w:tblBorders>
          <w:top w:val="single" w:sz="4" w:space="0" w:color="EEEDFE"/>
          <w:left w:val="single" w:sz="4" w:space="0" w:color="EEEDFE"/>
          <w:bottom w:val="single" w:sz="4" w:space="0" w:color="EEEDFE"/>
          <w:right w:val="single" w:sz="4" w:space="0" w:color="EEEDFE"/>
          <w:insideH w:val="single" w:sz="4" w:space="0" w:color="EEEDFE"/>
          <w:insideV w:val="single" w:sz="4" w:space="0" w:color="EEEDFE"/>
        </w:tblBorders>
      </w:tblPr>
      <w:tblGrid>
        <w:gridCol w:w="9632"/>
      </w:tblGrid>
      <w:tr>
        <w:trPr>
          <w:cantSplit w:val="true"/>
        </w:trPr>
        <w:tc>
          <w:tcPr>
            <w:tcW w:type="dxa" w:w="9354"/>
            <w:shd w:val="clear" w:color="auto" w:fill="EEEDFE"/>
            <w:tcMar>
              <w:top w:w="120" w:type="dxa"/>
              <w:bottom w:w="120" w:type="dxa"/>
              <w:start w:w="180" w:type="dxa"/>
              <w:end w:w="180" w:type="dxa"/>
            </w:tcMar>
          </w:tcPr>
          <w:p>
            <w:pPr>
              <w:spacing w:after="60"/>
            </w:pPr>
            <w:r/>
            <w:r>
              <w:rPr>
                <w:b/>
                <w:color w:val="8A6F5E"/>
                <w:sz w:val="18"/>
              </w:rPr>
              <w:t>NOTA</w:t>
            </w:r>
          </w:p>
          <w:p>
            <w:pPr>
              <w:spacing w:after="60"/>
            </w:pPr>
            <w:r>
              <w:rPr>
                <w:b w:val="0"/>
                <w:sz w:val="21"/>
              </w:rPr>
              <w:t xml:space="preserve">Los textos son una traducción del original en inglés; la redacción final de cada idioma se ajustará, pero </w:t>
            </w:r>
            <w:r>
              <w:rPr>
                <w:b/>
                <w:sz w:val="21"/>
              </w:rPr>
              <w:t>las situaciones, los umbrales y el tono</w:t>
            </w:r>
            <w:r>
              <w:rPr>
                <w:b w:val="0"/>
                <w:sz w:val="21"/>
              </w:rPr>
              <w:t xml:space="preserve"> son los que se someten a su revisión.</w:t>
            </w:r>
          </w:p>
        </w:tc>
      </w:tr>
    </w:tbl>
    <w:p>
      <w:pPr>
        <w:spacing w:after="40"/>
      </w:pPr>
    </w:p>
    <w:p>
      <w:pPr>
        <w:spacing w:after="80"/>
      </w:pPr>
      <w:r>
        <w:rPr>
          <w:b/>
          <w:color w:val="8A6F5E"/>
          <w:sz w:val="18"/>
        </w:rPr>
        <w:t xml:space="preserve">En qué se basa: </w:t>
      </w:r>
      <w:r>
        <w:rPr>
          <w:color w:val="8A6F5E"/>
          <w:sz w:val="18"/>
        </w:rPr>
        <w:t>ACOG (sangrado menstrual abundante, sangrado uterino anormal, enfermedad inflamatoria pélvica); NHS y Mayo Clinic (embarazo ectópico); NIDDK (retención urinaria); Mayo Clinic (obstrucción intestinal); NICE NG12 y BJGP (safety-netting).</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 xml:space="preserve">¿Son estas </w:t>
            </w:r>
            <w:r>
              <w:rPr>
                <w:b/>
                <w:sz w:val="21"/>
              </w:rPr>
              <w:t>seis situaciones</w:t>
            </w:r>
            <w:r>
              <w:rPr>
                <w:b w:val="0"/>
                <w:sz w:val="21"/>
              </w:rPr>
              <w:t xml:space="preserve"> las correctas, y sus </w:t>
            </w:r>
            <w:r>
              <w:rPr>
                <w:b/>
                <w:sz w:val="21"/>
              </w:rPr>
              <w:t>umbrales</w:t>
            </w:r>
            <w:r>
              <w:rPr>
                <w:b w:val="0"/>
                <w:sz w:val="21"/>
              </w:rPr>
              <w:t xml:space="preserve"> adecuados (por ejemplo, fiebre desde 38,0 °C, coágulos de 2,5 cm o más)?</w:t>
            </w:r>
          </w:p>
          <w:p>
            <w:pPr>
              <w:keepNext/>
              <w:spacing w:after="60"/>
            </w:pPr>
            <w:r>
              <w:rPr>
                <w:b w:val="0"/>
                <w:sz w:val="21"/>
              </w:rPr>
              <w:t>¿</w:t>
            </w:r>
            <w:r>
              <w:rPr>
                <w:b/>
                <w:sz w:val="21"/>
              </w:rPr>
              <w:t>Falta alguna situación de alarma</w:t>
            </w:r>
            <w:r>
              <w:rPr>
                <w:b w:val="0"/>
                <w:sz w:val="21"/>
              </w:rPr>
              <w:t xml:space="preserve"> que, a su juicio, deba avisarse (o sobra alguna)?</w:t>
            </w:r>
          </w:p>
          <w:p>
            <w:pPr>
              <w:keepNext/>
              <w:spacing w:after="60"/>
            </w:pPr>
            <w:r>
              <w:rPr>
                <w:b w:val="0"/>
                <w:sz w:val="21"/>
              </w:rPr>
              <w:t xml:space="preserve">¿La </w:t>
            </w:r>
            <w:r>
              <w:rPr>
                <w:b/>
                <w:sz w:val="21"/>
              </w:rPr>
              <w:t>redacción</w:t>
            </w:r>
            <w:r>
              <w:rPr>
                <w:b w:val="0"/>
                <w:sz w:val="21"/>
              </w:rPr>
              <w:t xml:space="preserve"> le parece lo bastante clara y prudente: ni alarmista ni tranquilizadora en exceso?</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2"/>
      </w:pPr>
      <w:r>
        <w:rPr>
          <w:color w:val="C25A36"/>
        </w:rPr>
        <w:t xml:space="preserve">C-16  </w:t>
      </w:r>
      <w:r>
        <w:t>Mapa corporal: ¿cada zona va en la vista de frente, en la de espalda, o en ambas?</w:t>
      </w:r>
    </w:p>
    <w:p>
      <w:pPr>
        <w:spacing w:after="40"/>
      </w:pPr>
      <w:r>
        <w:rPr>
          <w:i/>
          <w:color w:val="8A6F5E"/>
          <w:sz w:val="18"/>
        </w:rPr>
        <w:t>Formulario de síntomas  ·  Mapa corporal  ·  Informe para el médico</w:t>
      </w:r>
    </w:p>
    <w:p>
      <w:pPr>
        <w:keepNext/>
        <w:spacing w:before="160" w:after="40"/>
      </w:pPr>
      <w:r>
        <w:rPr>
          <w:b/>
          <w:color w:val="C25A36"/>
          <w:sz w:val="18"/>
        </w:rPr>
        <w:t>¿PARA QUÉ SE USA EN LA APP?</w:t>
      </w:r>
    </w:p>
    <w:p>
      <w:pPr>
        <w:spacing w:after="80"/>
      </w:pPr>
      <w:r>
        <w:rPr>
          <w:b w:val="0"/>
        </w:rPr>
        <w:t xml:space="preserve">En la pantalla del </w:t>
      </w:r>
      <w:r>
        <w:rPr>
          <w:b/>
        </w:rPr>
        <w:t>mapa corporal</w:t>
      </w:r>
      <w:r>
        <w:rPr>
          <w:b w:val="0"/>
        </w:rPr>
        <w:t xml:space="preserve">, la paciente marca sobre una silueta </w:t>
      </w:r>
      <w:r>
        <w:rPr>
          <w:b/>
        </w:rPr>
        <w:t>dónde le duele</w:t>
      </w:r>
      <w:r>
        <w:rPr>
          <w:b w:val="0"/>
        </w:rPr>
        <w:t xml:space="preserve">. Cada marca guarda dos cosas: la </w:t>
      </w:r>
      <w:r>
        <w:rPr>
          <w:b/>
        </w:rPr>
        <w:t>zona anatómica</w:t>
      </w:r>
      <w:r>
        <w:rPr>
          <w:b w:val="0"/>
        </w:rPr>
        <w:t xml:space="preserve"> (las ocho que usted ya revisó en el punto C-14) y el </w:t>
      </w:r>
      <w:r>
        <w:rPr>
          <w:b/>
        </w:rPr>
        <w:t>lado</w:t>
      </w:r>
      <w:r>
        <w:rPr>
          <w:b w:val="0"/>
        </w:rPr>
        <w:t xml:space="preserve">: </w:t>
      </w:r>
      <w:r>
        <w:rPr>
          <w:b/>
        </w:rPr>
        <w:t>frente</w:t>
      </w:r>
      <w:r>
        <w:rPr>
          <w:b w:val="0"/>
        </w:rPr>
        <w:t xml:space="preserve"> o </w:t>
      </w:r>
      <w:r>
        <w:rPr>
          <w:b/>
        </w:rPr>
        <w:t>espalda</w:t>
      </w:r>
      <w:r>
        <w:rPr>
          <w:b w:val="0"/>
        </w:rPr>
        <w:t>.</w:t>
      </w:r>
    </w:p>
    <w:p>
      <w:pPr>
        <w:spacing w:after="80"/>
      </w:pPr>
      <w:r>
        <w:rPr>
          <w:b w:val="0"/>
        </w:rPr>
        <w:t xml:space="preserve">Las zonas están ratificadas. </w:t>
      </w:r>
      <w:r>
        <w:rPr>
          <w:b/>
        </w:rPr>
        <w:t>El reparto entre frente y espalda no lo está</w:t>
      </w:r>
      <w:r>
        <w:rPr>
          <w:b w:val="0"/>
        </w:rPr>
        <w:t>, y no hemos encontrado ninguna fuente publicada que lo establezca.</w:t>
      </w:r>
    </w:p>
    <w:p>
      <w:pPr>
        <w:spacing w:after="80"/>
      </w:pPr>
      <w:r>
        <w:rPr>
          <w:b w:val="0"/>
        </w:rPr>
        <w:t xml:space="preserve">Importa más de lo que parece: ese dato </w:t>
      </w:r>
      <w:r>
        <w:rPr>
          <w:b/>
        </w:rPr>
        <w:t>nunca se le muestra de vuelta a la paciente</w:t>
      </w:r>
      <w:r>
        <w:rPr>
          <w:b w:val="0"/>
        </w:rPr>
        <w:t xml:space="preserve">, y la primera versión </w:t>
      </w:r>
      <w:r>
        <w:rPr>
          <w:b/>
        </w:rPr>
        <w:t>no permite corregir ni borrar</w:t>
      </w:r>
      <w:r>
        <w:rPr>
          <w:b w:val="0"/>
        </w:rPr>
        <w:t xml:space="preserve"> un síntoma ya registrado. Un valor equivocado se escribe una sola vez, de forma invisible, y ya no se puede arreglar. Más adelante estas marcas se dibujarán como un </w:t>
      </w:r>
      <w:r>
        <w:rPr>
          <w:b/>
        </w:rPr>
        <w:t>mapa de calor sobre una figura humana</w:t>
      </w:r>
      <w:r>
        <w:rPr>
          <w:b w:val="0"/>
        </w:rPr>
        <w:t>, que es donde un reparto equivocado se convertiría en una afirmación anatómica visible.</w:t>
      </w:r>
    </w:p>
    <w:p>
      <w:pPr>
        <w:keepNext/>
        <w:spacing w:before="160" w:after="40"/>
      </w:pPr>
      <w:r>
        <w:rPr>
          <w:b/>
          <w:color w:val="C25A36"/>
          <w:sz w:val="18"/>
        </w:rPr>
        <w:t>AQUÍ NO HAY DECISIÓN PROVISIONAL DE CAROLINA</w:t>
      </w:r>
    </w:p>
    <w:tbl>
      <w:tblPr>
        <w:tblW w:type="auto" w:w="0"/>
        <w:jc w:val="center"/>
        <w:tblLayout w:type="fixed"/>
        <w:tblLook w:firstColumn="1" w:firstRow="1" w:lastColumn="0" w:lastRow="0" w:noHBand="0" w:noVBand="1" w:val="04A0"/>
        <w:tblBorders>
          <w:top w:val="single" w:sz="4" w:space="0" w:color="EEEDFE"/>
          <w:left w:val="single" w:sz="4" w:space="0" w:color="EEEDFE"/>
          <w:bottom w:val="single" w:sz="4" w:space="0" w:color="EEEDFE"/>
          <w:right w:val="single" w:sz="4" w:space="0" w:color="EEEDFE"/>
          <w:insideH w:val="single" w:sz="4" w:space="0" w:color="EEEDFE"/>
          <w:insideV w:val="single" w:sz="4" w:space="0" w:color="EEEDFE"/>
        </w:tblBorders>
      </w:tblPr>
      <w:tblGrid>
        <w:gridCol w:w="9632"/>
      </w:tblGrid>
      <w:tr>
        <w:trPr>
          <w:cantSplit w:val="true"/>
        </w:trPr>
        <w:tc>
          <w:tcPr>
            <w:tcW w:type="dxa" w:w="9354"/>
            <w:shd w:val="clear" w:color="auto" w:fill="EEEDFE"/>
            <w:tcMar>
              <w:top w:w="120" w:type="dxa"/>
              <w:bottom w:w="120" w:type="dxa"/>
              <w:start w:w="180" w:type="dxa"/>
              <w:end w:w="180" w:type="dxa"/>
            </w:tcMar>
          </w:tcPr>
          <w:p>
            <w:pPr>
              <w:spacing w:after="60"/>
            </w:pPr>
            <w:r/>
            <w:r>
              <w:rPr>
                <w:b/>
                <w:color w:val="8A6F5E"/>
                <w:sz w:val="18"/>
              </w:rPr>
              <w:t>NOTA</w:t>
            </w:r>
          </w:p>
          <w:p>
            <w:pPr>
              <w:spacing w:after="60"/>
            </w:pPr>
            <w:r>
              <w:rPr>
                <w:b w:val="0"/>
                <w:sz w:val="21"/>
              </w:rPr>
              <w:t xml:space="preserve">Este es el único punto del documento </w:t>
            </w:r>
            <w:r>
              <w:rPr>
                <w:b/>
                <w:sz w:val="21"/>
              </w:rPr>
              <w:t>sin una decisión provisional</w:t>
            </w:r>
            <w:r>
              <w:rPr>
                <w:b w:val="0"/>
                <w:sz w:val="21"/>
              </w:rPr>
              <w:t>. Carolina consideró que es una pregunta clínica y prefirió no inventar una respuesta.</w:t>
            </w:r>
          </w:p>
        </w:tc>
      </w:tr>
    </w:tbl>
    <w:p>
      <w:pPr>
        <w:spacing w:after="40"/>
      </w:pPr>
    </w:p>
    <w:p>
      <w:pPr>
        <w:spacing w:after="80"/>
      </w:pPr>
      <w:r>
        <w:rPr>
          <w:b/>
        </w:rPr>
        <w:t>Mientras usted no lo resuelva, la versión 1 sale con una sola silueta, sin selector de frente/espalda, y no guarda ningún lado.</w:t>
      </w:r>
      <w:r>
        <w:rPr>
          <w:b w:val="0"/>
        </w:rPr>
        <w:t xml:space="preserve"> Así no se almacena nada sin validar y no se cierra ninguna puerta: cuando usted responda, se añade el selector y nada de lo ya guardado queda mal.</w:t>
      </w:r>
    </w:p>
    <w:p>
      <w:pPr>
        <w:spacing w:after="80"/>
      </w:pPr>
      <w:r>
        <w:rPr>
          <w:b/>
          <w:color w:val="8A6F5E"/>
          <w:sz w:val="18"/>
        </w:rPr>
        <w:t xml:space="preserve">En qué se basa: </w:t>
      </w:r>
      <w:r>
        <w:rPr>
          <w:color w:val="8A6F5E"/>
          <w:sz w:val="18"/>
        </w:rPr>
        <w:t>Ninguna: es una pregunta abierta, no un valor tomado de la literatura.</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9632"/>
      </w:tblGrid>
      <w:tr>
        <w:trPr>
          <w:cantSplit w:val="true"/>
        </w:trPr>
        <w:tc>
          <w:tcPr>
            <w:tcW w:type="dxa" w:w="9354"/>
            <w:tcMar>
              <w:top w:w="100" w:type="dxa"/>
              <w:bottom w:w="100" w:type="dxa"/>
              <w:start w:w="180" w:type="dxa"/>
              <w:end w:w="180" w:type="dxa"/>
            </w:tcMar>
            <w:shd w:val="clear" w:color="auto" w:fill="E4EADD"/>
          </w:tcPr>
          <w:p>
            <w:pPr>
              <w:keepNext/>
              <w:spacing w:after="60"/>
            </w:pPr>
            <w:r/>
            <w:r>
              <w:rPr>
                <w:b/>
                <w:color w:val="7B8F6B"/>
                <w:sz w:val="18"/>
              </w:rPr>
              <w:t>PREGUNTA PARA USTED</w:t>
            </w:r>
          </w:p>
          <w:p>
            <w:pPr>
              <w:keepNext/>
              <w:spacing w:after="60"/>
            </w:pPr>
            <w:r>
              <w:rPr>
                <w:b w:val="0"/>
                <w:sz w:val="21"/>
              </w:rPr>
              <w:t>Para cada zona —</w:t>
            </w:r>
            <w:r>
              <w:rPr>
                <w:b/>
                <w:sz w:val="21"/>
              </w:rPr>
              <w:t>bajo vientre, pelvis, zona lumbar (espalda baja), piernas, intestinal/rectal, vejiga, vaginal, pecho u hombro</w:t>
            </w:r>
            <w:r>
              <w:rPr>
                <w:b w:val="0"/>
                <w:sz w:val="21"/>
              </w:rPr>
              <w:t xml:space="preserve">—, ¿la aplicación debería ofrecerla en la vista </w:t>
            </w:r>
            <w:r>
              <w:rPr>
                <w:b/>
                <w:sz w:val="21"/>
              </w:rPr>
              <w:t>de frente</w:t>
            </w:r>
            <w:r>
              <w:rPr>
                <w:b w:val="0"/>
                <w:sz w:val="21"/>
              </w:rPr>
              <w:t xml:space="preserve">, en la de </w:t>
            </w:r>
            <w:r>
              <w:rPr>
                <w:b/>
                <w:sz w:val="21"/>
              </w:rPr>
              <w:t>espalda</w:t>
            </w:r>
            <w:r>
              <w:rPr>
                <w:b w:val="0"/>
                <w:sz w:val="21"/>
              </w:rPr>
              <w:t xml:space="preserve">, en </w:t>
            </w:r>
            <w:r>
              <w:rPr>
                <w:b/>
                <w:sz w:val="21"/>
              </w:rPr>
              <w:t>ambas</w:t>
            </w:r>
            <w:r>
              <w:rPr>
                <w:b w:val="0"/>
                <w:sz w:val="21"/>
              </w:rPr>
              <w:t xml:space="preserve">, o </w:t>
            </w:r>
            <w:r>
              <w:rPr>
                <w:b/>
                <w:sz w:val="21"/>
              </w:rPr>
              <w:t>no preguntar el lado</w:t>
            </w:r>
            <w:r>
              <w:rPr>
                <w:b w:val="0"/>
                <w:sz w:val="21"/>
              </w:rPr>
              <w:t xml:space="preserve"> en esa zona?</w:t>
            </w:r>
          </w:p>
          <w:p>
            <w:pPr>
              <w:keepNext/>
              <w:spacing w:after="60"/>
            </w:pPr>
            <w:r>
              <w:rPr>
                <w:b w:val="0"/>
                <w:sz w:val="21"/>
              </w:rPr>
              <w:t xml:space="preserve">Tenga en cuenta que </w:t>
            </w:r>
            <w:r>
              <w:rPr>
                <w:b/>
                <w:sz w:val="21"/>
              </w:rPr>
              <w:t>«pecho u hombro»</w:t>
            </w:r>
            <w:r>
              <w:rPr>
                <w:b w:val="0"/>
                <w:sz w:val="21"/>
              </w:rPr>
              <w:t xml:space="preserve"> está en el vocabulario precisamente por el </w:t>
            </w:r>
            <w:r>
              <w:rPr>
                <w:b/>
                <w:sz w:val="21"/>
              </w:rPr>
              <w:t>dolor referido de hombro por irritación del nervio frénico</w:t>
            </w:r>
            <w:r>
              <w:rPr>
                <w:b w:val="0"/>
                <w:sz w:val="21"/>
              </w:rPr>
              <w:t>, que no es limpiamente anterior ni posterior. Si su respuesta es «registren dónde señala la paciente y no pregunten frente o espalda», es una respuesta válida y el selector se queda fuera.</w:t>
            </w:r>
          </w:p>
          <w:p>
            <w:pPr>
              <w:keepNext/>
              <w:spacing w:after="60"/>
            </w:pPr>
            <w:r>
              <w:rPr>
                <w:b/>
                <w:sz w:val="21"/>
              </w:rPr>
              <w:t>Segunda pregunta, dentro del mismo punto:</w:t>
            </w:r>
            <w:r>
              <w:rPr>
                <w:b w:val="0"/>
                <w:sz w:val="21"/>
              </w:rPr>
              <w:t xml:space="preserve"> en la lista de ocho zonas </w:t>
            </w:r>
            <w:r>
              <w:rPr>
                <w:b/>
                <w:sz w:val="21"/>
              </w:rPr>
              <w:t>no hay ninguna para el abdomen superior</w:t>
            </w:r>
            <w:r>
              <w:rPr>
                <w:b w:val="0"/>
                <w:sz w:val="21"/>
              </w:rPr>
              <w:t xml:space="preserve"> (la zona por debajo de las costillas y por encima del ombligo). Hoy, en la silueta, un toque en esa zona se registra como </w:t>
            </w:r>
            <w:r>
              <w:rPr>
                <w:b/>
                <w:sz w:val="21"/>
              </w:rPr>
              <w:t>«pecho u hombro»</w:t>
            </w:r>
            <w:r>
              <w:rPr>
                <w:b w:val="0"/>
                <w:sz w:val="21"/>
              </w:rPr>
              <w:t xml:space="preserve">, sencillamente porque es la zona marcada más cercana. ¿Conviene añadir una zona de abdomen superior, conviene que esa franja </w:t>
            </w:r>
            <w:r>
              <w:rPr>
                <w:b/>
                <w:sz w:val="21"/>
              </w:rPr>
              <w:t>no sea tocable</w:t>
            </w:r>
            <w:r>
              <w:rPr>
                <w:b w:val="0"/>
                <w:sz w:val="21"/>
              </w:rPr>
              <w:t xml:space="preserve"> (y la paciente la elija de la lista escrita), o le parece aceptable que se registre como «pecho u hombro»?</w:t>
            </w:r>
          </w:p>
        </w:tc>
      </w:tr>
      <w:tr>
        <w:trPr>
          <w:cantSplit w:val="true"/>
        </w:trPr>
        <w:tc>
          <w:tcPr>
            <w:tcW w:type="dxa" w:w="9354"/>
            <w:tcMar>
              <w:top w:w="100" w:type="dxa"/>
              <w:bottom w:w="100" w:type="dxa"/>
              <w:start w:w="180" w:type="dxa"/>
              <w:end w:w="180" w:type="dxa"/>
            </w:tcMar>
            <w:shd w:val="clear" w:color="auto" w:fill="FAF6EF"/>
          </w:tcPr>
          <w:p>
            <w:pPr>
              <w:keepNext/>
              <w:spacing w:after="0"/>
            </w:pPr>
            <w:r/>
            <w:r>
              <w:rPr>
                <w:b/>
                <w:color w:val="C25A36"/>
                <w:sz w:val="18"/>
              </w:rPr>
              <w:t xml:space="preserve">SU RESPUESTA   </w:t>
            </w:r>
            <w:r>
              <w:rPr>
                <w:rFonts w:ascii="Segoe UI Symbol" w:hAnsi="Segoe UI Symbol" w:eastAsia="Segoe UI Symbol"/>
                <w:sz w:val="24"/>
              </w:rPr>
              <w:t xml:space="preserve">☐ </w:t>
            </w:r>
            <w:r>
              <w:rPr>
                <w:sz w:val="21"/>
              </w:rPr>
              <w:t xml:space="preserve">De acuerdo     </w:t>
            </w:r>
            <w:r>
              <w:rPr>
                <w:rFonts w:ascii="Segoe UI Symbol" w:hAnsi="Segoe UI Symbol" w:eastAsia="Segoe UI Symbol"/>
                <w:sz w:val="24"/>
              </w:rPr>
              <w:t xml:space="preserve">☐ </w:t>
            </w:r>
            <w:r>
              <w:rPr>
                <w:sz w:val="21"/>
              </w:rPr>
              <w:t xml:space="preserve">Modificar     </w:t>
            </w:r>
            <w:r>
              <w:rPr>
                <w:rFonts w:ascii="Segoe UI Symbol" w:hAnsi="Segoe UI Symbol" w:eastAsia="Segoe UI Symbol"/>
                <w:sz w:val="24"/>
              </w:rPr>
              <w:t xml:space="preserve">☐ </w:t>
            </w:r>
            <w:r>
              <w:rPr>
                <w:sz w:val="21"/>
              </w:rPr>
              <w:t xml:space="preserve">No estoy de acuerdo     </w:t>
            </w:r>
          </w:p>
        </w:tc>
      </w:tr>
      <w:tr>
        <w:trPr>
          <w:cantSplit w:val="true"/>
        </w:trPr>
        <w:tc>
          <w:tcPr>
            <w:tcW w:type="dxa" w:w="9354"/>
            <w:tcMar>
              <w:top w:w="100" w:type="dxa"/>
              <w:bottom w:w="100" w:type="dxa"/>
              <w:start w:w="180" w:type="dxa"/>
              <w:end w:w="180" w:type="dxa"/>
            </w:tcMar>
          </w:tcPr>
          <w:p>
            <w:pPr>
              <w:keepNext/>
              <w:spacing w:after="40"/>
            </w:pPr>
            <w:r/>
            <w:r>
              <w:rPr>
                <w:b/>
                <w:sz w:val="19"/>
              </w:rPr>
              <w:t>Comentario, valor o redacción que propone (y la fuente, si la tiene):</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p>
            <w:pPr>
              <w:keepNext/>
              <w:spacing w:after="0" w:before="160"/>
            </w:pPr>
            <w:r>
              <w:rPr>
                <w:color w:val="B0A498"/>
                <w:sz w:val="18"/>
              </w:rPr>
              <w:t>____________________________________________________________________________________________</w:t>
            </w:r>
          </w:p>
        </w:tc>
      </w:tr>
      <w:tr>
        <w:trPr>
          <w:cantSplit w:val="true"/>
        </w:trPr>
        <w:tc>
          <w:tcPr>
            <w:tcW w:type="dxa" w:w="9354"/>
            <w:tcMar>
              <w:top w:w="100" w:type="dxa"/>
              <w:bottom w:w="100" w:type="dxa"/>
              <w:start w:w="180" w:type="dxa"/>
              <w:end w:w="180" w:type="dxa"/>
            </w:tcMar>
            <w:shd w:val="clear" w:color="auto" w:fill="FAF6EF"/>
          </w:tcPr>
          <w:p>
            <w:pPr>
              <w:spacing w:after="0"/>
            </w:pPr>
            <w:r/>
            <w:r>
              <w:rPr>
                <w:b/>
                <w:sz w:val="19"/>
              </w:rPr>
              <w:t>Nombre y firma:</w:t>
            </w:r>
            <w:r>
              <w:rPr>
                <w:b w:val="0"/>
                <w:sz w:val="19"/>
              </w:rPr>
              <w:t xml:space="preserve"> ______________________________________      </w:t>
            </w:r>
            <w:r>
              <w:rPr>
                <w:b/>
                <w:sz w:val="19"/>
              </w:rPr>
              <w:t>Fecha:</w:t>
            </w:r>
            <w:r>
              <w:rPr>
                <w:b w:val="0"/>
                <w:sz w:val="19"/>
              </w:rPr>
              <w:t xml:space="preserve"> ____ / ____ / ________</w:t>
            </w:r>
          </w:p>
        </w:tc>
      </w:tr>
    </w:tbl>
    <w:p>
      <w:pPr>
        <w:spacing w:after="80"/>
      </w:pPr>
    </w:p>
    <w:p>
      <w:pPr>
        <w:pStyle w:val="Heading1"/>
        <w:pageBreakBefore/>
      </w:pPr>
      <w:r>
        <w:t>Resumen de sus respuestas</w:t>
      </w:r>
    </w:p>
    <w:p>
      <w:pPr>
        <w:spacing w:after="120"/>
      </w:pPr>
      <w:r>
        <w:rPr>
          <w:b w:val="0"/>
        </w:rPr>
        <w:t>Para facilitar la revisión, le pedimos que traslade aquí su respuesta a cada punto. Si marcó «Modificar» o «No estoy de acuerdo» en algún punto, recuerde dejar el detalle en el recuadro correspondiente.</w:t>
      </w:r>
    </w:p>
    <w:tbl>
      <w:tblPr>
        <w:tblW w:type="auto" w:w="0"/>
        <w:jc w:val="center"/>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1605"/>
        <w:gridCol w:w="1605"/>
        <w:gridCol w:w="1605"/>
        <w:gridCol w:w="1605"/>
        <w:gridCol w:w="1605"/>
        <w:gridCol w:w="1605"/>
      </w:tblGrid>
      <w:tr>
        <w:trPr>
          <w:tblHeader w:val="true"/>
          <w:cantSplit w:val="true"/>
        </w:trPr>
        <w:tc>
          <w:tcPr>
            <w:tcW w:type="dxa" w:w="737"/>
            <w:shd w:val="clear" w:color="auto" w:fill="F3D9CC"/>
            <w:tcMar>
              <w:top w:w="80" w:type="dxa"/>
              <w:bottom w:w="80" w:type="dxa"/>
              <w:start w:w="120" w:type="dxa"/>
              <w:end w:w="120" w:type="dxa"/>
            </w:tcMar>
          </w:tcPr>
          <w:p>
            <w:pPr>
              <w:keepNext/>
            </w:pPr>
            <w:r/>
            <w:r>
              <w:rPr>
                <w:b/>
                <w:sz w:val="18"/>
              </w:rPr>
              <w:t>Punto</w:t>
            </w:r>
          </w:p>
        </w:tc>
        <w:tc>
          <w:tcPr>
            <w:tcW w:type="dxa" w:w="3061"/>
            <w:shd w:val="clear" w:color="auto" w:fill="F3D9CC"/>
            <w:tcMar>
              <w:top w:w="80" w:type="dxa"/>
              <w:bottom w:w="80" w:type="dxa"/>
              <w:start w:w="120" w:type="dxa"/>
              <w:end w:w="120" w:type="dxa"/>
            </w:tcMar>
          </w:tcPr>
          <w:p>
            <w:pPr>
              <w:keepNext/>
            </w:pPr>
            <w:r/>
            <w:r>
              <w:rPr>
                <w:b/>
                <w:sz w:val="18"/>
              </w:rPr>
              <w:t>Tema</w:t>
            </w:r>
          </w:p>
        </w:tc>
        <w:tc>
          <w:tcPr>
            <w:tcW w:type="dxa" w:w="1077"/>
            <w:shd w:val="clear" w:color="auto" w:fill="F3D9CC"/>
            <w:tcMar>
              <w:top w:w="80" w:type="dxa"/>
              <w:bottom w:w="80" w:type="dxa"/>
              <w:start w:w="120" w:type="dxa"/>
              <w:end w:w="120" w:type="dxa"/>
            </w:tcMar>
          </w:tcPr>
          <w:p>
            <w:pPr>
              <w:keepNext/>
            </w:pPr>
            <w:r/>
            <w:r>
              <w:rPr>
                <w:b/>
                <w:sz w:val="18"/>
              </w:rPr>
              <w:t>De acuerdo</w:t>
            </w:r>
          </w:p>
        </w:tc>
        <w:tc>
          <w:tcPr>
            <w:tcW w:type="dxa" w:w="1077"/>
            <w:shd w:val="clear" w:color="auto" w:fill="F3D9CC"/>
            <w:tcMar>
              <w:top w:w="80" w:type="dxa"/>
              <w:bottom w:w="80" w:type="dxa"/>
              <w:start w:w="120" w:type="dxa"/>
              <w:end w:w="120" w:type="dxa"/>
            </w:tcMar>
          </w:tcPr>
          <w:p>
            <w:pPr>
              <w:keepNext/>
            </w:pPr>
            <w:r/>
            <w:r>
              <w:rPr>
                <w:b/>
                <w:sz w:val="18"/>
              </w:rPr>
              <w:t>Modificar</w:t>
            </w:r>
          </w:p>
        </w:tc>
        <w:tc>
          <w:tcPr>
            <w:tcW w:type="dxa" w:w="1191"/>
            <w:shd w:val="clear" w:color="auto" w:fill="F3D9CC"/>
            <w:tcMar>
              <w:top w:w="80" w:type="dxa"/>
              <w:bottom w:w="80" w:type="dxa"/>
              <w:start w:w="120" w:type="dxa"/>
              <w:end w:w="120" w:type="dxa"/>
            </w:tcMar>
          </w:tcPr>
          <w:p>
            <w:pPr>
              <w:keepNext/>
            </w:pPr>
            <w:r/>
            <w:r>
              <w:rPr>
                <w:b/>
                <w:sz w:val="18"/>
              </w:rPr>
              <w:t>No de acuerdo</w:t>
            </w:r>
          </w:p>
        </w:tc>
        <w:tc>
          <w:tcPr>
            <w:tcW w:type="dxa" w:w="2494"/>
            <w:shd w:val="clear" w:color="auto" w:fill="F3D9CC"/>
            <w:tcMar>
              <w:top w:w="80" w:type="dxa"/>
              <w:bottom w:w="80" w:type="dxa"/>
              <w:start w:w="120" w:type="dxa"/>
              <w:end w:w="120" w:type="dxa"/>
            </w:tcMar>
          </w:tcPr>
          <w:p>
            <w:pPr>
              <w:keepNext/>
            </w:pPr>
            <w:r/>
            <w:r>
              <w:rPr>
                <w:b/>
                <w:sz w:val="18"/>
              </w:rPr>
              <w:t>Observaciones</w:t>
            </w:r>
          </w:p>
        </w:tc>
      </w:tr>
      <w:tr>
        <w:trPr>
          <w:cantSplit w:val="true"/>
        </w:trPr>
        <w:tc>
          <w:tcPr>
            <w:tcW w:type="dxa" w:w="737"/>
            <w:tcMar>
              <w:top w:w="80" w:type="dxa"/>
              <w:bottom w:w="80" w:type="dxa"/>
              <w:start w:w="120" w:type="dxa"/>
              <w:end w:w="120" w:type="dxa"/>
            </w:tcMar>
          </w:tcPr>
          <w:p>
            <w:pPr>
              <w:keepNext/>
            </w:pPr>
            <w:r/>
            <w:r>
              <w:rPr>
                <w:b w:val="0"/>
                <w:sz w:val="18"/>
              </w:rPr>
              <w:t>C-01</w:t>
            </w:r>
          </w:p>
        </w:tc>
        <w:tc>
          <w:tcPr>
            <w:tcW w:type="dxa" w:w="3061"/>
            <w:tcMar>
              <w:top w:w="80" w:type="dxa"/>
              <w:bottom w:w="80" w:type="dxa"/>
              <w:start w:w="120" w:type="dxa"/>
              <w:end w:w="120" w:type="dxa"/>
            </w:tcMar>
          </w:tcPr>
          <w:p>
            <w:pPr>
              <w:keepNext/>
            </w:pPr>
            <w:r/>
            <w:r>
              <w:rPr>
                <w:b w:val="0"/>
                <w:sz w:val="18"/>
              </w:rPr>
              <w:t>Delimitación de las cuatro fases del ciclo</w:t>
            </w:r>
          </w:p>
        </w:tc>
        <w:tc>
          <w:tcPr>
            <w:tcW w:type="dxa" w:w="1077"/>
            <w:tcMar>
              <w:top w:w="80" w:type="dxa"/>
              <w:bottom w:w="80" w:type="dxa"/>
              <w:start w:w="120" w:type="dxa"/>
              <w:end w:w="120" w:type="dxa"/>
            </w:tcMar>
          </w:tcPr>
          <w:p>
            <w:pPr>
              <w:keepNext/>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keepNext/>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keepNext/>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pPr>
              <w:keepNext/>
            </w:pPr>
            <w:r/>
          </w:p>
        </w:tc>
      </w:tr>
      <w:tr>
        <w:trPr>
          <w:cantSplit w:val="true"/>
        </w:trPr>
        <w:tc>
          <w:tcPr>
            <w:tcW w:type="dxa" w:w="737"/>
            <w:tcMar>
              <w:top w:w="80" w:type="dxa"/>
              <w:bottom w:w="80" w:type="dxa"/>
              <w:start w:w="120" w:type="dxa"/>
              <w:end w:w="120" w:type="dxa"/>
            </w:tcMar>
            <w:shd w:val="clear" w:color="auto" w:fill="FAF6EF"/>
          </w:tcPr>
          <w:p>
            <w:pPr>
              <w:keepNext/>
            </w:pPr>
            <w:r/>
            <w:r>
              <w:rPr>
                <w:b w:val="0"/>
                <w:sz w:val="18"/>
              </w:rPr>
              <w:t>C-02</w:t>
            </w:r>
          </w:p>
        </w:tc>
        <w:tc>
          <w:tcPr>
            <w:tcW w:type="dxa" w:w="3061"/>
            <w:tcMar>
              <w:top w:w="80" w:type="dxa"/>
              <w:bottom w:w="80" w:type="dxa"/>
              <w:start w:w="120" w:type="dxa"/>
              <w:end w:w="120" w:type="dxa"/>
            </w:tcMar>
            <w:shd w:val="clear" w:color="auto" w:fill="FAF6EF"/>
          </w:tcPr>
          <w:p>
            <w:pPr>
              <w:keepNext/>
            </w:pPr>
            <w:r/>
            <w:r>
              <w:rPr>
                <w:b w:val="0"/>
                <w:sz w:val="18"/>
              </w:rPr>
              <w:t>Estimación de la ovulación y ventana fértil</w:t>
            </w:r>
          </w:p>
        </w:tc>
        <w:tc>
          <w:tcPr>
            <w:tcW w:type="dxa" w:w="1077"/>
            <w:tcMar>
              <w:top w:w="80" w:type="dxa"/>
              <w:bottom w:w="80" w:type="dxa"/>
              <w:start w:w="120" w:type="dxa"/>
              <w:end w:w="120" w:type="dxa"/>
            </w:tcMar>
            <w:shd w:val="clear" w:color="auto" w:fill="FAF6EF"/>
          </w:tcPr>
          <w:p>
            <w:pPr>
              <w:keepNext/>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keepNext/>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keepNext/>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pPr>
              <w:keepNext/>
            </w:pPr>
            <w:r/>
          </w:p>
        </w:tc>
      </w:tr>
      <w:tr>
        <w:trPr>
          <w:cantSplit w:val="true"/>
        </w:trPr>
        <w:tc>
          <w:tcPr>
            <w:tcW w:type="dxa" w:w="737"/>
            <w:tcMar>
              <w:top w:w="80" w:type="dxa"/>
              <w:bottom w:w="80" w:type="dxa"/>
              <w:start w:w="120" w:type="dxa"/>
              <w:end w:w="120" w:type="dxa"/>
            </w:tcMar>
          </w:tcPr>
          <w:p>
            <w:r/>
            <w:r>
              <w:rPr>
                <w:b w:val="0"/>
                <w:sz w:val="18"/>
              </w:rPr>
              <w:t>C-03</w:t>
            </w:r>
          </w:p>
        </w:tc>
        <w:tc>
          <w:tcPr>
            <w:tcW w:type="dxa" w:w="3061"/>
            <w:tcMar>
              <w:top w:w="80" w:type="dxa"/>
              <w:bottom w:w="80" w:type="dxa"/>
              <w:start w:w="120" w:type="dxa"/>
              <w:end w:w="120" w:type="dxa"/>
            </w:tcMar>
          </w:tcPr>
          <w:p>
            <w:r/>
            <w:r>
              <w:rPr>
                <w:b w:val="0"/>
                <w:sz w:val="18"/>
              </w:rPr>
              <w:t>Duración habitual del ciclo y de la menstruación; límites</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r/>
          </w:p>
        </w:tc>
      </w:tr>
      <w:tr>
        <w:trPr>
          <w:cantSplit w:val="true"/>
        </w:trPr>
        <w:tc>
          <w:tcPr>
            <w:tcW w:type="dxa" w:w="737"/>
            <w:tcMar>
              <w:top w:w="80" w:type="dxa"/>
              <w:bottom w:w="80" w:type="dxa"/>
              <w:start w:w="120" w:type="dxa"/>
              <w:end w:w="120" w:type="dxa"/>
            </w:tcMar>
            <w:shd w:val="clear" w:color="auto" w:fill="FAF6EF"/>
          </w:tcPr>
          <w:p>
            <w:r/>
            <w:r>
              <w:rPr>
                <w:b w:val="0"/>
                <w:sz w:val="18"/>
              </w:rPr>
              <w:t>C-04</w:t>
            </w:r>
          </w:p>
        </w:tc>
        <w:tc>
          <w:tcPr>
            <w:tcW w:type="dxa" w:w="3061"/>
            <w:tcMar>
              <w:top w:w="80" w:type="dxa"/>
              <w:bottom w:w="80" w:type="dxa"/>
              <w:start w:w="120" w:type="dxa"/>
              <w:end w:w="120" w:type="dxa"/>
            </w:tcMar>
            <w:shd w:val="clear" w:color="auto" w:fill="FAF6EF"/>
          </w:tcPr>
          <w:p>
            <w:r/>
            <w:r>
              <w:rPr>
                <w:b w:val="0"/>
                <w:sz w:val="18"/>
              </w:rPr>
              <w:t>Menstruación vs. manchado; detección del primer día</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r/>
          </w:p>
        </w:tc>
      </w:tr>
      <w:tr>
        <w:trPr>
          <w:cantSplit w:val="true"/>
        </w:trPr>
        <w:tc>
          <w:tcPr>
            <w:tcW w:type="dxa" w:w="737"/>
            <w:tcMar>
              <w:top w:w="80" w:type="dxa"/>
              <w:bottom w:w="80" w:type="dxa"/>
              <w:start w:w="120" w:type="dxa"/>
              <w:end w:w="120" w:type="dxa"/>
            </w:tcMar>
          </w:tcPr>
          <w:p>
            <w:r/>
            <w:r>
              <w:rPr>
                <w:b w:val="0"/>
                <w:sz w:val="18"/>
              </w:rPr>
              <w:t>C-05</w:t>
            </w:r>
          </w:p>
        </w:tc>
        <w:tc>
          <w:tcPr>
            <w:tcW w:type="dxa" w:w="3061"/>
            <w:tcMar>
              <w:top w:w="80" w:type="dxa"/>
              <w:bottom w:w="80" w:type="dxa"/>
              <w:start w:w="120" w:type="dxa"/>
              <w:end w:w="120" w:type="dxa"/>
            </w:tcMar>
          </w:tcPr>
          <w:p>
            <w:r/>
            <w:r>
              <w:rPr>
                <w:b w:val="0"/>
                <w:sz w:val="18"/>
              </w:rPr>
              <w:t>Definición de regularidad y su efecto en las predicciones</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r/>
          </w:p>
        </w:tc>
      </w:tr>
      <w:tr>
        <w:trPr>
          <w:cantSplit w:val="true"/>
        </w:trPr>
        <w:tc>
          <w:tcPr>
            <w:tcW w:type="dxa" w:w="737"/>
            <w:tcMar>
              <w:top w:w="80" w:type="dxa"/>
              <w:bottom w:w="80" w:type="dxa"/>
              <w:start w:w="120" w:type="dxa"/>
              <w:end w:w="120" w:type="dxa"/>
            </w:tcMar>
            <w:shd w:val="clear" w:color="auto" w:fill="FAF6EF"/>
          </w:tcPr>
          <w:p>
            <w:r/>
            <w:r>
              <w:rPr>
                <w:b w:val="0"/>
                <w:sz w:val="18"/>
              </w:rPr>
              <w:t>C-06</w:t>
            </w:r>
          </w:p>
        </w:tc>
        <w:tc>
          <w:tcPr>
            <w:tcW w:type="dxa" w:w="3061"/>
            <w:tcMar>
              <w:top w:w="80" w:type="dxa"/>
              <w:bottom w:w="80" w:type="dxa"/>
              <w:start w:w="120" w:type="dxa"/>
              <w:end w:w="120" w:type="dxa"/>
            </w:tcMar>
            <w:shd w:val="clear" w:color="auto" w:fill="FAF6EF"/>
          </w:tcPr>
          <w:p>
            <w:r/>
            <w:r>
              <w:rPr>
                <w:b w:val="0"/>
                <w:sz w:val="18"/>
              </w:rPr>
              <w:t>Rangos de referencia hormonales</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r/>
          </w:p>
        </w:tc>
      </w:tr>
      <w:tr>
        <w:trPr>
          <w:cantSplit w:val="true"/>
        </w:trPr>
        <w:tc>
          <w:tcPr>
            <w:tcW w:type="dxa" w:w="737"/>
            <w:tcMar>
              <w:top w:w="80" w:type="dxa"/>
              <w:bottom w:w="80" w:type="dxa"/>
              <w:start w:w="120" w:type="dxa"/>
              <w:end w:w="120" w:type="dxa"/>
            </w:tcMar>
          </w:tcPr>
          <w:p>
            <w:r/>
            <w:r>
              <w:rPr>
                <w:b w:val="0"/>
                <w:sz w:val="18"/>
              </w:rPr>
              <w:t>C-07</w:t>
            </w:r>
          </w:p>
        </w:tc>
        <w:tc>
          <w:tcPr>
            <w:tcW w:type="dxa" w:w="3061"/>
            <w:tcMar>
              <w:top w:w="80" w:type="dxa"/>
              <w:bottom w:w="80" w:type="dxa"/>
              <w:start w:w="120" w:type="dxa"/>
              <w:end w:w="120" w:type="dxa"/>
            </w:tcMar>
          </w:tcPr>
          <w:p>
            <w:r/>
            <w:r>
              <w:rPr>
                <w:b w:val="0"/>
                <w:sz w:val="18"/>
              </w:rPr>
              <w:t>Unidades aceptadas y conversiones</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r/>
          </w:p>
        </w:tc>
      </w:tr>
      <w:tr>
        <w:trPr>
          <w:cantSplit w:val="true"/>
        </w:trPr>
        <w:tc>
          <w:tcPr>
            <w:tcW w:type="dxa" w:w="737"/>
            <w:tcMar>
              <w:top w:w="80" w:type="dxa"/>
              <w:bottom w:w="80" w:type="dxa"/>
              <w:start w:w="120" w:type="dxa"/>
              <w:end w:w="120" w:type="dxa"/>
            </w:tcMar>
            <w:shd w:val="clear" w:color="auto" w:fill="FAF6EF"/>
          </w:tcPr>
          <w:p>
            <w:r/>
            <w:r>
              <w:rPr>
                <w:b w:val="0"/>
                <w:sz w:val="18"/>
              </w:rPr>
              <w:t>C-08</w:t>
            </w:r>
          </w:p>
        </w:tc>
        <w:tc>
          <w:tcPr>
            <w:tcW w:type="dxa" w:w="3061"/>
            <w:tcMar>
              <w:top w:w="80" w:type="dxa"/>
              <w:bottom w:w="80" w:type="dxa"/>
              <w:start w:w="120" w:type="dxa"/>
              <w:end w:w="120" w:type="dxa"/>
            </w:tcMar>
            <w:shd w:val="clear" w:color="auto" w:fill="FAF6EF"/>
          </w:tcPr>
          <w:p>
            <w:r/>
            <w:r>
              <w:rPr>
                <w:b w:val="0"/>
                <w:sz w:val="18"/>
              </w:rPr>
              <w:t>GLP-1: solo informativo, sin rango</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r/>
          </w:p>
        </w:tc>
      </w:tr>
      <w:tr>
        <w:trPr>
          <w:cantSplit w:val="true"/>
        </w:trPr>
        <w:tc>
          <w:tcPr>
            <w:tcW w:type="dxa" w:w="737"/>
            <w:tcMar>
              <w:top w:w="80" w:type="dxa"/>
              <w:bottom w:w="80" w:type="dxa"/>
              <w:start w:w="120" w:type="dxa"/>
              <w:end w:w="120" w:type="dxa"/>
            </w:tcMar>
          </w:tcPr>
          <w:p>
            <w:r/>
            <w:r>
              <w:rPr>
                <w:b w:val="0"/>
                <w:sz w:val="18"/>
              </w:rPr>
              <w:t>C-09</w:t>
            </w:r>
          </w:p>
        </w:tc>
        <w:tc>
          <w:tcPr>
            <w:tcW w:type="dxa" w:w="3061"/>
            <w:tcMar>
              <w:top w:w="80" w:type="dxa"/>
              <w:bottom w:w="80" w:type="dxa"/>
              <w:start w:w="120" w:type="dxa"/>
              <w:end w:w="120" w:type="dxa"/>
            </w:tcMar>
          </w:tcPr>
          <w:p>
            <w:r/>
            <w:r>
              <w:rPr>
                <w:b w:val="0"/>
                <w:sz w:val="18"/>
              </w:rPr>
              <w:t>Indicador de datos completos (0–100)</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r/>
          </w:p>
        </w:tc>
      </w:tr>
      <w:tr>
        <w:trPr>
          <w:cantSplit w:val="true"/>
        </w:trPr>
        <w:tc>
          <w:tcPr>
            <w:tcW w:type="dxa" w:w="737"/>
            <w:tcMar>
              <w:top w:w="80" w:type="dxa"/>
              <w:bottom w:w="80" w:type="dxa"/>
              <w:start w:w="120" w:type="dxa"/>
              <w:end w:w="120" w:type="dxa"/>
            </w:tcMar>
            <w:shd w:val="clear" w:color="auto" w:fill="FAF6EF"/>
          </w:tcPr>
          <w:p>
            <w:r/>
            <w:r>
              <w:rPr>
                <w:b w:val="0"/>
                <w:sz w:val="18"/>
              </w:rPr>
              <w:t>C-10</w:t>
            </w:r>
          </w:p>
        </w:tc>
        <w:tc>
          <w:tcPr>
            <w:tcW w:type="dxa" w:w="3061"/>
            <w:tcMar>
              <w:top w:w="80" w:type="dxa"/>
              <w:bottom w:w="80" w:type="dxa"/>
              <w:start w:w="120" w:type="dxa"/>
              <w:end w:w="120" w:type="dxa"/>
            </w:tcMar>
            <w:shd w:val="clear" w:color="auto" w:fill="FAF6EF"/>
          </w:tcPr>
          <w:p>
            <w:r/>
            <w:r>
              <w:rPr>
                <w:b w:val="0"/>
                <w:sz w:val="18"/>
              </w:rPr>
              <w:t>Tarjetas de «te falta información»</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r/>
          </w:p>
        </w:tc>
      </w:tr>
      <w:tr>
        <w:trPr>
          <w:cantSplit w:val="true"/>
        </w:trPr>
        <w:tc>
          <w:tcPr>
            <w:tcW w:type="dxa" w:w="737"/>
            <w:tcMar>
              <w:top w:w="80" w:type="dxa"/>
              <w:bottom w:w="80" w:type="dxa"/>
              <w:start w:w="120" w:type="dxa"/>
              <w:end w:w="120" w:type="dxa"/>
            </w:tcMar>
          </w:tcPr>
          <w:p>
            <w:r/>
            <w:r>
              <w:rPr>
                <w:b w:val="0"/>
                <w:sz w:val="18"/>
              </w:rPr>
              <w:t>C-11</w:t>
            </w:r>
          </w:p>
        </w:tc>
        <w:tc>
          <w:tcPr>
            <w:tcW w:type="dxa" w:w="3061"/>
            <w:tcMar>
              <w:top w:w="80" w:type="dxa"/>
              <w:bottom w:w="80" w:type="dxa"/>
              <w:start w:w="120" w:type="dxa"/>
              <w:end w:w="120" w:type="dxa"/>
            </w:tcMar>
          </w:tcPr>
          <w:p>
            <w:r/>
            <w:r>
              <w:rPr>
                <w:b w:val="0"/>
                <w:sz w:val="18"/>
              </w:rPr>
              <w:t>Hallazgos: definición de dolor, mínimos y redacción</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r/>
          </w:p>
        </w:tc>
      </w:tr>
      <w:tr>
        <w:trPr>
          <w:cantSplit w:val="true"/>
        </w:trPr>
        <w:tc>
          <w:tcPr>
            <w:tcW w:type="dxa" w:w="737"/>
            <w:tcMar>
              <w:top w:w="80" w:type="dxa"/>
              <w:bottom w:w="80" w:type="dxa"/>
              <w:start w:w="120" w:type="dxa"/>
              <w:end w:w="120" w:type="dxa"/>
            </w:tcMar>
            <w:shd w:val="clear" w:color="auto" w:fill="FAF6EF"/>
          </w:tcPr>
          <w:p>
            <w:r/>
            <w:r>
              <w:rPr>
                <w:b w:val="0"/>
                <w:sz w:val="18"/>
              </w:rPr>
              <w:t>C-12</w:t>
            </w:r>
          </w:p>
        </w:tc>
        <w:tc>
          <w:tcPr>
            <w:tcW w:type="dxa" w:w="3061"/>
            <w:tcMar>
              <w:top w:w="80" w:type="dxa"/>
              <w:bottom w:w="80" w:type="dxa"/>
              <w:start w:w="120" w:type="dxa"/>
              <w:end w:w="120" w:type="dxa"/>
            </w:tcMar>
            <w:shd w:val="clear" w:color="auto" w:fill="FAF6EF"/>
          </w:tcPr>
          <w:p>
            <w:r/>
            <w:r>
              <w:rPr>
                <w:b w:val="0"/>
                <w:sz w:val="18"/>
              </w:rPr>
              <w:t>Población objetivo y pausa del seguimiento del ciclo</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r/>
          </w:p>
        </w:tc>
      </w:tr>
      <w:tr>
        <w:trPr>
          <w:cantSplit w:val="true"/>
        </w:trPr>
        <w:tc>
          <w:tcPr>
            <w:tcW w:type="dxa" w:w="737"/>
            <w:tcMar>
              <w:top w:w="80" w:type="dxa"/>
              <w:bottom w:w="80" w:type="dxa"/>
              <w:start w:w="120" w:type="dxa"/>
              <w:end w:w="120" w:type="dxa"/>
            </w:tcMar>
          </w:tcPr>
          <w:p>
            <w:r/>
            <w:r>
              <w:rPr>
                <w:b w:val="0"/>
                <w:sz w:val="18"/>
              </w:rPr>
              <w:t>C-13</w:t>
            </w:r>
          </w:p>
        </w:tc>
        <w:tc>
          <w:tcPr>
            <w:tcW w:type="dxa" w:w="3061"/>
            <w:tcMar>
              <w:top w:w="80" w:type="dxa"/>
              <w:bottom w:w="80" w:type="dxa"/>
              <w:start w:w="120" w:type="dxa"/>
              <w:end w:w="120" w:type="dxa"/>
            </w:tcMar>
          </w:tcPr>
          <w:p>
            <w:r/>
            <w:r>
              <w:rPr>
                <w:b w:val="0"/>
                <w:sz w:val="18"/>
              </w:rPr>
              <w:t>Lista de medicamentos y dosis típicas</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r/>
          </w:p>
        </w:tc>
      </w:tr>
      <w:tr>
        <w:trPr>
          <w:cantSplit w:val="true"/>
        </w:trPr>
        <w:tc>
          <w:tcPr>
            <w:tcW w:type="dxa" w:w="737"/>
            <w:tcMar>
              <w:top w:w="80" w:type="dxa"/>
              <w:bottom w:w="80" w:type="dxa"/>
              <w:start w:w="120" w:type="dxa"/>
              <w:end w:w="120" w:type="dxa"/>
            </w:tcMar>
            <w:shd w:val="clear" w:color="auto" w:fill="FAF6EF"/>
          </w:tcPr>
          <w:p>
            <w:r/>
            <w:r>
              <w:rPr>
                <w:b w:val="0"/>
                <w:sz w:val="18"/>
              </w:rPr>
              <w:t>C-14</w:t>
            </w:r>
          </w:p>
        </w:tc>
        <w:tc>
          <w:tcPr>
            <w:tcW w:type="dxa" w:w="3061"/>
            <w:tcMar>
              <w:top w:w="80" w:type="dxa"/>
              <w:bottom w:w="80" w:type="dxa"/>
              <w:start w:w="120" w:type="dxa"/>
              <w:end w:w="120" w:type="dxa"/>
            </w:tcMar>
            <w:shd w:val="clear" w:color="auto" w:fill="FAF6EF"/>
          </w:tcPr>
          <w:p>
            <w:r/>
            <w:r>
              <w:rPr>
                <w:b w:val="0"/>
                <w:sz w:val="18"/>
              </w:rPr>
              <w:t>Estadios, cirugías y vocabulario de síntomas</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r/>
          </w:p>
        </w:tc>
      </w:tr>
      <w:tr>
        <w:trPr>
          <w:cantSplit w:val="true"/>
        </w:trPr>
        <w:tc>
          <w:tcPr>
            <w:tcW w:type="dxa" w:w="737"/>
            <w:tcMar>
              <w:top w:w="80" w:type="dxa"/>
              <w:bottom w:w="80" w:type="dxa"/>
              <w:start w:w="120" w:type="dxa"/>
              <w:end w:w="120" w:type="dxa"/>
            </w:tcMar>
          </w:tcPr>
          <w:p>
            <w:r/>
            <w:r>
              <w:rPr>
                <w:b w:val="0"/>
                <w:sz w:val="18"/>
              </w:rPr>
              <w:t>C-15</w:t>
            </w:r>
          </w:p>
        </w:tc>
        <w:tc>
          <w:tcPr>
            <w:tcW w:type="dxa" w:w="3061"/>
            <w:tcMar>
              <w:top w:w="80" w:type="dxa"/>
              <w:bottom w:w="80" w:type="dxa"/>
              <w:start w:w="120" w:type="dxa"/>
              <w:end w:w="120" w:type="dxa"/>
            </w:tcMar>
          </w:tcPr>
          <w:p>
            <w:r/>
            <w:r>
              <w:rPr>
                <w:b w:val="0"/>
                <w:sz w:val="18"/>
              </w:rPr>
              <w:t>Avisos de seguridad ante síntomas de alarma</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tcPr>
          <w:p>
            <w:r/>
          </w:p>
        </w:tc>
      </w:tr>
      <w:tr>
        <w:trPr>
          <w:cantSplit w:val="true"/>
        </w:trPr>
        <w:tc>
          <w:tcPr>
            <w:tcW w:type="dxa" w:w="737"/>
            <w:tcMar>
              <w:top w:w="80" w:type="dxa"/>
              <w:bottom w:w="80" w:type="dxa"/>
              <w:start w:w="120" w:type="dxa"/>
              <w:end w:w="120" w:type="dxa"/>
            </w:tcMar>
            <w:shd w:val="clear" w:color="auto" w:fill="FAF6EF"/>
          </w:tcPr>
          <w:p>
            <w:r/>
            <w:r>
              <w:rPr>
                <w:b w:val="0"/>
                <w:sz w:val="18"/>
              </w:rPr>
              <w:t>C-16</w:t>
            </w:r>
          </w:p>
        </w:tc>
        <w:tc>
          <w:tcPr>
            <w:tcW w:type="dxa" w:w="3061"/>
            <w:tcMar>
              <w:top w:w="80" w:type="dxa"/>
              <w:bottom w:w="80" w:type="dxa"/>
              <w:start w:w="120" w:type="dxa"/>
              <w:end w:w="120" w:type="dxa"/>
            </w:tcMar>
            <w:shd w:val="clear" w:color="auto" w:fill="FAF6EF"/>
          </w:tcPr>
          <w:p>
            <w:r/>
            <w:r>
              <w:rPr>
                <w:b w:val="0"/>
                <w:sz w:val="18"/>
              </w:rPr>
              <w:t>Mapa corporal: frente / espalda</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077"/>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1191"/>
            <w:tcMar>
              <w:top w:w="80" w:type="dxa"/>
              <w:bottom w:w="80" w:type="dxa"/>
              <w:start w:w="120" w:type="dxa"/>
              <w:end w:w="120" w:type="dxa"/>
            </w:tcMar>
            <w:shd w:val="clear" w:color="auto" w:fill="FAF6EF"/>
          </w:tcPr>
          <w:p>
            <w:pPr>
              <w:jc w:val="center"/>
            </w:pPr>
            <w:r>
              <w:rPr>
                <w:rFonts w:ascii="Segoe UI Symbol" w:hAnsi="Segoe UI Symbol"/>
                <w:sz w:val="24"/>
              </w:rPr>
            </w:r>
            <w:r>
              <w:rPr>
                <w:rFonts w:ascii="Segoe UI Symbol" w:hAnsi="Segoe UI Symbol"/>
                <w:b w:val="0"/>
                <w:sz w:val="24"/>
              </w:rPr>
              <w:t>☐</w:t>
            </w:r>
          </w:p>
        </w:tc>
        <w:tc>
          <w:tcPr>
            <w:tcW w:type="dxa" w:w="2494"/>
            <w:tcMar>
              <w:top w:w="80" w:type="dxa"/>
              <w:bottom w:w="80" w:type="dxa"/>
              <w:start w:w="120" w:type="dxa"/>
              <w:end w:w="120" w:type="dxa"/>
            </w:tcMar>
            <w:shd w:val="clear" w:color="auto" w:fill="FAF6EF"/>
          </w:tcPr>
          <w:p>
            <w:r/>
          </w:p>
        </w:tc>
      </w:tr>
    </w:tbl>
    <w:p>
      <w:pPr>
        <w:spacing w:after="40"/>
      </w:pPr>
    </w:p>
    <w:p>
      <w:pPr>
        <w:pStyle w:val="Heading1"/>
      </w:pPr>
      <w:r>
        <w:t>Cómo devolvernos el documento</w:t>
      </w:r>
    </w:p>
    <w:p>
      <w:pPr>
        <w:spacing w:after="120"/>
      </w:pPr>
      <w:r>
        <w:rPr>
          <w:b w:val="0"/>
        </w:rPr>
        <w:t>Envíe el documento firmado (en papel escaneado o en formato digital) a Carolina, responsable del producto. A partir de ahí:</w:t>
      </w:r>
    </w:p>
    <w:p>
      <w:pPr>
        <w:pStyle w:val="ListBullet"/>
        <w:spacing w:after="60"/>
      </w:pPr>
      <w:r>
        <w:rPr>
          <w:b w:val="0"/>
        </w:rPr>
        <w:t xml:space="preserve">Cada punto que usted haya marcado </w:t>
      </w:r>
      <w:r>
        <w:rPr>
          <w:b/>
        </w:rPr>
        <w:t>«De acuerdo»</w:t>
      </w:r>
      <w:r>
        <w:rPr>
          <w:b w:val="0"/>
        </w:rPr>
        <w:t xml:space="preserve"> se incorporará a la aplicación tal como está, con su nombre, la fecha y la fuente.</w:t>
      </w:r>
    </w:p>
    <w:p>
      <w:pPr>
        <w:pStyle w:val="ListBullet"/>
        <w:spacing w:after="60"/>
      </w:pPr>
      <w:r>
        <w:rPr>
          <w:b w:val="0"/>
        </w:rPr>
        <w:t xml:space="preserve">Cada punto marcado </w:t>
      </w:r>
      <w:r>
        <w:rPr>
          <w:b/>
        </w:rPr>
        <w:t>«Modificar»</w:t>
      </w:r>
      <w:r>
        <w:rPr>
          <w:b w:val="0"/>
        </w:rPr>
        <w:t xml:space="preserve"> se incorporará con el valor o la redacción que usted indique.</w:t>
      </w:r>
    </w:p>
    <w:p>
      <w:pPr>
        <w:pStyle w:val="ListBullet"/>
        <w:spacing w:after="60"/>
      </w:pPr>
      <w:r>
        <w:rPr>
          <w:b w:val="0"/>
        </w:rPr>
        <w:t xml:space="preserve">Cada punto marcado </w:t>
      </w:r>
      <w:r>
        <w:rPr>
          <w:b/>
        </w:rPr>
        <w:t>«No estoy de acuerdo»</w:t>
      </w:r>
      <w:r>
        <w:rPr>
          <w:b w:val="0"/>
        </w:rPr>
        <w:t xml:space="preserve"> se mantendrá fuera de la aplicación hasta que lo resolvamos con usted en una breve conversación.</w:t>
      </w:r>
    </w:p>
    <w:p>
      <w:pPr>
        <w:spacing w:after="120"/>
      </w:pPr>
      <w:r>
        <w:rPr>
          <w:b w:val="0"/>
        </w:rPr>
        <w:t>Si prefiere comentar alguno de los puntos de viva voz, con gusto organizamos una reunión corta. Muchas gracias por su tiempo y por su criterio: son lo que convierte a Lumen en una herramienta segura para las pacientes.</w:t>
      </w:r>
    </w:p>
    <w:p>
      <w:pPr>
        <w:spacing w:after="200"/>
      </w:pPr>
    </w:p>
    <w:tbl>
      <w:tblPr>
        <w:tblW w:type="auto" w:w="0"/>
        <w:tblLayout w:type="fixed"/>
        <w:tblLook w:firstColumn="1" w:firstRow="1" w:lastColumn="0" w:lastRow="0" w:noHBand="0" w:noVBand="1" w:val="04A0"/>
        <w:tblBorders>
          <w:top w:val="single" w:sz="4" w:space="0" w:color="D9D2C8"/>
          <w:left w:val="single" w:sz="4" w:space="0" w:color="D9D2C8"/>
          <w:bottom w:val="single" w:sz="4" w:space="0" w:color="D9D2C8"/>
          <w:right w:val="single" w:sz="4" w:space="0" w:color="D9D2C8"/>
          <w:insideH w:val="single" w:sz="4" w:space="0" w:color="D9D2C8"/>
          <w:insideV w:val="single" w:sz="4" w:space="0" w:color="D9D2C8"/>
        </w:tblBorders>
      </w:tblPr>
      <w:tblGrid>
        <w:gridCol w:w="4816"/>
        <w:gridCol w:w="4816"/>
      </w:tblGrid>
      <w:tr>
        <w:tc>
          <w:tcPr>
            <w:tcW w:type="dxa" w:w="4677"/>
            <w:tcMar>
              <w:top w:w="100" w:type="dxa"/>
              <w:bottom w:w="100" w:type="dxa"/>
              <w:start w:w="160" w:type="dxa"/>
              <w:end w:w="160" w:type="dxa"/>
            </w:tcMar>
          </w:tcPr>
          <w:p>
            <w:r/>
            <w:r>
              <w:rPr>
                <w:color w:val="8A6F5E"/>
                <w:sz w:val="18"/>
              </w:rPr>
              <w:t>Nombre completo del especialista</w:t>
            </w:r>
          </w:p>
          <w:p/>
          <w:p/>
        </w:tc>
        <w:tc>
          <w:tcPr>
            <w:tcW w:type="dxa" w:w="4677"/>
            <w:tcMar>
              <w:top w:w="100" w:type="dxa"/>
              <w:bottom w:w="100" w:type="dxa"/>
              <w:start w:w="160" w:type="dxa"/>
              <w:end w:w="160" w:type="dxa"/>
            </w:tcMar>
          </w:tcPr>
          <w:p>
            <w:r/>
            <w:r>
              <w:rPr>
                <w:color w:val="8A6F5E"/>
                <w:sz w:val="18"/>
              </w:rPr>
              <w:t>Especialidad / institución</w:t>
            </w:r>
          </w:p>
          <w:p/>
          <w:p/>
        </w:tc>
      </w:tr>
      <w:tr>
        <w:tc>
          <w:tcPr>
            <w:tcW w:type="dxa" w:w="4677"/>
            <w:tcMar>
              <w:top w:w="100" w:type="dxa"/>
              <w:bottom w:w="100" w:type="dxa"/>
              <w:start w:w="160" w:type="dxa"/>
              <w:end w:w="160" w:type="dxa"/>
            </w:tcMar>
          </w:tcPr>
          <w:p>
            <w:r/>
            <w:r>
              <w:rPr>
                <w:color w:val="8A6F5E"/>
                <w:sz w:val="18"/>
              </w:rPr>
              <w:t>Firma</w:t>
            </w:r>
          </w:p>
          <w:p/>
          <w:p/>
        </w:tc>
        <w:tc>
          <w:tcPr>
            <w:tcW w:type="dxa" w:w="4677"/>
            <w:tcMar>
              <w:top w:w="100" w:type="dxa"/>
              <w:bottom w:w="100" w:type="dxa"/>
              <w:start w:w="160" w:type="dxa"/>
              <w:end w:w="160" w:type="dxa"/>
            </w:tcMar>
          </w:tcPr>
          <w:p>
            <w:r/>
            <w:r>
              <w:rPr>
                <w:color w:val="8A6F5E"/>
                <w:sz w:val="18"/>
              </w:rPr>
              <w:t>Fecha</w:t>
            </w:r>
          </w:p>
          <w:p/>
          <w:p/>
        </w:tc>
      </w:tr>
    </w:tbl>
    <w:sectPr w:rsidR="00FC693F" w:rsidRPr="0006063C" w:rsidSect="00034616">
      <w:headerReference w:type="default" r:id="rId9"/>
      <w:footerReference w:type="default" r:id="rId10"/>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6F5E"/>
        <w:sz w:val="18"/>
      </w:rPr>
      <w:t xml:space="preserve">Página </w:t>
    </w:r>
    <w:r>
      <w:rPr>
        <w:color w:val="8A6F5E"/>
        <w:sz w:val="18"/>
      </w:rPr>
      <w:fldChar w:fldCharType="begin"/>
      <w:instrText xml:space="preserve">PAGE</w:instrText>
      <w:fldChar w:fldCharType="separate"/>
      <w:t>1</w:t>
      <w:fldChar w:fldCharType="end"/>
    </w:r>
    <w:r>
      <w:rPr>
        <w:color w:val="8A6F5E"/>
        <w:sz w:val="18"/>
      </w:rPr>
      <w:t xml:space="preserve"> de </w:t>
    </w:r>
    <w:r>
      <w:rPr>
        <w:color w:val="8A6F5E"/>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A6F5E"/>
        <w:sz w:val="17"/>
      </w:rPr>
      <w:t>Lumen · Revisión clínica para el especialista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B2A20"/>
      <w:sz w:val="22"/>
      <w:lang w:val="es-MX"/>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C25A36"/>
      <w:sz w:val="32"/>
      <w:szCs w:val="28"/>
      <w:lang w:val="es-MX"/>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eastAsia="Calibri"/>
      <w:b/>
      <w:bCs/>
      <w:color w:val="3B2A20"/>
      <w:sz w:val="26"/>
      <w:szCs w:val="26"/>
      <w:lang w:val="es-MX"/>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3B2A20"/>
      <w:sz w:val="22"/>
      <w:lang w:val="es-MX"/>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3B2A20"/>
      <w:spacing w:val="5"/>
      <w:kern w:val="28"/>
      <w:sz w:val="48"/>
      <w:szCs w:val="52"/>
      <w:lang w:val="es-MX"/>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lang w:val="es-MX"/>
    </w:rPr>
  </w:style>
  <w:style w:type="paragraph" w:styleId="ListBullet2">
    <w:name w:val="List Bullet 2"/>
    <w:basedOn w:val="Normal"/>
    <w:uiPriority w:val="99"/>
    <w:unhideWhenUsed/>
    <w:rsid w:val="00326F90"/>
    <w:pPr>
      <w:numPr>
        <w:numId w:val="2"/>
      </w:numPr>
      <w:contextualSpacing/>
    </w:pPr>
    <w:rPr>
      <w:rFonts w:ascii="Calibri" w:hAnsi="Calibri"/>
      <w:sz w:val="22"/>
      <w:lang w:val="es-MX"/>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