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GD3384</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Advanced Design</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8:00 am to 12:00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Holler</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rholler@aii.edu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916-202-3200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 from 10 p.m. to 12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Advanced Design</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further defines the role of the graphic designer in
advertising and photography. Students are introduced to
informational and administrative approaches to the development of
advertising campaign strategies. Media and marketing realities are
applied.</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This course focuses on advanced concepts in designing visual
communication for a unique culture and target audience.  The
student will be requested to research and document supportive
information that will aid in the creative development of
communication design solutions.  Assignment solutions will be
directed toward specific messages targeted to a unique culture and
audience.  This course will introduce the concept and
opportunity of international design consulting.</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90936824"/>
        </w:numPr>
        <w:contextualSpacing/>
      </w:pPr>
      <w:r>
        <w:rPr>
          <w:rFonts w:ascii="arial narrow" w:hAnsi="arial narrow" w:cs="arial narrow"/>
          <w:color w:val="000000"/>
          <w:sz w:val="20"/>
        </w:rPr>
        <w:t xml:space="preserve">Develop an advanced sensitivity to the combination of image,
typography and layout.</w:t>
      </w:r>
    </w:p>
    <w:p>
      <w:pPr>
        <w:pStyle w:val="ListParagraphPHPDOCX"/>
        <w:numPr>
          <w:ilvl w:val="0"/>
          <w:numId w:val="90936824"/>
        </w:numPr>
        <w:contextualSpacing/>
      </w:pPr>
      <w:r>
        <w:rPr>
          <w:rFonts w:ascii="arial narrow" w:hAnsi="arial narrow" w:cs="arial narrow"/>
          <w:color w:val="000000"/>
          <w:sz w:val="20"/>
        </w:rPr>
        <w:t xml:space="preserve">Demonstrate advanced graphic design skills: sequence,
advertising, visual and verbal narrative as it interrelates through
time and space, storytelling, narrative structures, rhythm,
audience, and point of view.</w:t>
      </w:r>
    </w:p>
    <w:p>
      <w:pPr>
        <w:pStyle w:val="ListParagraphPHPDOCX"/>
        <w:numPr>
          <w:ilvl w:val="0"/>
          <w:numId w:val="90936824"/>
        </w:numPr>
        <w:contextualSpacing/>
      </w:pPr>
      <w:r>
        <w:rPr>
          <w:rFonts w:ascii="arial narrow" w:hAnsi="arial narrow" w:cs="arial narrow"/>
          <w:color w:val="000000"/>
          <w:sz w:val="20"/>
        </w:rPr>
        <w:t xml:space="preserve">Develop and demonstrate the graphic creative process through
extensive thumbnails and comps before creating completed portfolio
pieces.</w:t>
      </w:r>
    </w:p>
    <w:p>
      <w:pPr>
        <w:pStyle w:val="ListParagraphPHPDOCX"/>
        <w:numPr>
          <w:ilvl w:val="0"/>
          <w:numId w:val="90936824"/>
        </w:numPr>
        <w:contextualSpacing/>
      </w:pPr>
      <w:r>
        <w:rPr>
          <w:rFonts w:ascii="arial narrow" w:hAnsi="arial narrow" w:cs="arial narrow"/>
          <w:color w:val="000000"/>
          <w:sz w:val="20"/>
        </w:rPr>
        <w:t xml:space="preserve">Demonstrate by presentation their clarity in problem
(assignment) recognition, solution and presentation.</w:t>
      </w:r>
    </w:p>
    <w:p>
      <w:pPr>
        <w:pStyle w:val="ListParagraphPHPDOCX"/>
        <w:numPr>
          <w:ilvl w:val="0"/>
          <w:numId w:val="90936824"/>
        </w:numPr>
        <w:contextualSpacing/>
      </w:pPr>
      <w:r>
        <w:rPr>
          <w:rFonts w:ascii="arial narrow" w:hAnsi="arial narrow" w:cs="arial narrow"/>
          <w:color w:val="000000"/>
          <w:sz w:val="20"/>
        </w:rPr>
        <w:t xml:space="preserve">Develop and demonstrate the ability to research and define the
design challenges in a given problem/assignment.</w:t>
      </w:r>
    </w:p>
    <w:p>
      <w:pPr>
        <w:pStyle w:val="ListParagraphPHPDOCX"/>
        <w:numPr>
          <w:ilvl w:val="0"/>
          <w:numId w:val="90936824"/>
        </w:numPr>
        <w:contextualSpacing/>
      </w:pPr>
      <w:r>
        <w:rPr>
          <w:rFonts w:ascii="arial narrow" w:hAnsi="arial narrow" w:cs="arial narrow"/>
          <w:color w:val="000000"/>
          <w:sz w:val="20"/>
        </w:rPr>
        <w:t xml:space="preserve">Develop an understanding of a marketing brief and copywriting
skills.</w:t>
      </w:r>
    </w:p>
    <w:p>
      <w:pPr>
        <w:pBdr/>
        <w:spacing w:before="200" w:after="200"/>
        <w:ind w:left="0" w:right="0"/>
        <w:jc w:val="left"/>
      </w:pPr>
      <w:r>
        <w:rPr>
          <w:rFonts w:ascii="arial narrow" w:hAnsi="arial narrow" w:cs="arial narrow"/>
          <w:b/>
          <w:color w:val="000000"/>
          <w:sz w:val="20"/>
        </w:rPr>
        <w:t xml:space="preserve">Additional Competencies:</w:t>
      </w:r>
    </w:p>
    <w:p>
      <w:pPr>
        <w:pStyle w:val="ListParagraphPHPDOCX"/>
        <w:numPr>
          <w:ilvl w:val="0"/>
          <w:numId w:val="90936824"/>
        </w:numPr>
        <w:contextualSpacing/>
      </w:pPr>
      <w:r>
        <w:rPr>
          <w:rFonts w:ascii="arial narrow" w:hAnsi="arial narrow" w:cs="arial narrow"/>
          <w:color w:val="000000"/>
          <w:sz w:val="20"/>
        </w:rPr>
        <w:t xml:space="preserve">Develop an understanding of targeted communication solutions
that are effected by the audience and cultural specifics.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GD2262 Message Making</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High quality graphic
design materials and tools; concept development materials for
sketching and evaluating preliminary ideas; High quality print
papers and related exhibit fabrication materials.</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with Adobe CS
software; High quality print availability.</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Core Assignment Research and Documentation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Creative Concept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Creative Design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Execution and Presentation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20%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90936824"/>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90936824"/>
        </w:numPr>
        <w:contextualSpacing/>
      </w:pPr>
      <w:r>
        <w:rPr>
          <w:rFonts w:ascii="arial narrow" w:hAnsi="arial narrow" w:cs="arial narrow"/>
          <w:color w:val="000000"/>
          <w:sz w:val="20"/>
        </w:rPr>
        <w:t xml:space="preserve">Grading will be done on a point system.</w:t>
      </w:r>
    </w:p>
    <w:p>
      <w:pPr>
        <w:pStyle w:val="ListParagraphPHPDOCX"/>
        <w:numPr>
          <w:ilvl w:val="0"/>
          <w:numId w:val="90936824"/>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90936824"/>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90936824"/>
        </w:numPr>
        <w:contextualSpacing/>
      </w:pPr>
      <w:r>
        <w:rPr>
          <w:rFonts w:ascii="arial narrow" w:hAnsi="arial narrow" w:cs="arial narrow"/>
          <w:color w:val="000000"/>
          <w:sz w:val="20"/>
        </w:rPr>
        <w:t xml:space="preserve">Late work receives a grade of zero.</w:t>
      </w:r>
    </w:p>
    <w:p>
      <w:pPr>
        <w:pStyle w:val="ListParagraphPHPDOCX"/>
        <w:numPr>
          <w:ilvl w:val="0"/>
          <w:numId w:val="90936824"/>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90936824"/>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90936824"/>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90936824"/>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90936824"/>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90936824"/>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90936824"/>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90936824"/>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90936824"/>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90936824"/>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90936824"/>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90936824"/>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to course
objectives and methodology;  Discussion of international
design consulting and related challenges;  Discussion of the
target culture and audience.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#1:  Research
development.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Complete research assignment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Evaluate the research process
and the selection of meaningful data.</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Each student will present the
findings of their research assignment #1;  Introduction of
Assignment #2:  Exterior Identification Signing, phase 1.</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#2,
phase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exterior signing
fabrication;  Critique of Assignment #2, phase 1.</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Continuation of Assignment #2, phase
2.</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#2, phase
2.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Product Marketing
/ Corporate Capabilities introduced to targeted audience and
culture;  Introduce Assignment #3, phase 1.</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Creative concept development for
Assignment #3, phase 1.</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Complete Assignment #3, phase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and discussion of
exhibits representing Assignment #3, phase 1;  Introduce
Assignment #3, phase 2.</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Creative concept development for
Assignment #3, phase 2.</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Complete Assignment #3, phase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and discussion of
exhibits representing Assignment #3, phase 2;  Introduce
Assignment #3, phase 3.</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Creative concept development for
Assignment #3, phase 3.</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Complete Assignment #3, phase
3.</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 Critique and discussion of
exhibits representing Assignment #3, phase 3;  Introduce
Assignment #3, final refinement;  Introduce Assignment #4.</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Final refinement for Assignment
#3.</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#4.</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and discussion of
exhibits representing Assignment #4;  Introduction of
Assignment #5, phase 1.</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Creative development of Assignment
#5, phase 1.</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#5,
phase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and discussion of
exhibits representing Assignment #5, phase 1;  Introduction of
Assignment #5, phase 2.</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Creative development of Assignment
#5, phase 2.</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#5,
phase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Critique and discussion exhibit
representing Assignment #5, phase 2;  Discussion of final exam
and final presentation of exhibits representing Assignments #2
through #5.</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Final exhibit refinements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Prepare for final exam and
exhibit presentation.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Final exam and design presentation.</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936824">
    <w:multiLevelType w:val="hybridMultilevel"/>
    <w:lvl w:ilvl="0" w:tplc="176652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90936824">
    <w:abstractNumId w:val="90936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