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Q3) </w:t>
      </w:r>
      <w:r>
        <w:rPr>
          <w:rFonts w:hint="default" w:ascii="Times New Roman" w:hAnsi="Times New Roman" w:eastAsia="SimSun" w:cs="Times New Roman"/>
          <w:sz w:val="32"/>
          <w:szCs w:val="32"/>
        </w:rPr>
        <w:t>Display the information for the department with the highest annual remuneration.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use emp;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 xml:space="preserve">select department.Department_No,Department_Name,Location 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from department inner join employee on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department.Department_No = employee.Department_No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order by ((Salary+ifnull(Commission,0))*12) desc limit 1;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07BEE"/>
    <w:rsid w:val="121B48EB"/>
    <w:rsid w:val="45EB5124"/>
    <w:rsid w:val="7340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2022-01-19T12:06:00Z</dcterms:created>
  <dc:creator>jdipa</dc:creator>
  <cp:lastModifiedBy>Deepankar Jadhav</cp:lastModifiedBy>
  <dcterms:modified xsi:type="dcterms:W3CDTF">2022-01-20T14:14:46Z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FBA87E8F0B804F22873D332C044E8EB6</vt:lpwstr>
  </property>
</Properties>
</file>