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0, -4.5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-6,-4.5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-6,-2.02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-4.35,-2.02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-4.35,-0.73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-3.99,0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-4.35, 0.73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-4.35, 2.02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-6,2.02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-6,-0.92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-5.45,-0.92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-5.45,0.92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-6,0.92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-6, 2.02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-4.35,2.02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-4.35,-2.02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-6,-2.02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-6,4.5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6,4.5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6, 2.02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4.35,2.02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4.35, 0.73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3.99, 0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4.35, -0.73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4.35, -2.02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6, -2.02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6, 2.02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4.35,2.02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4.35,-2.02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6,-2.02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6,0.92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5.45, 0.92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5.45, -0.92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6, -0.92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6,-4.5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0,-4.5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0, -1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0.5, -0.86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0.89, -0.46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1,0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0.89,0.46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0.5,0.86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0,1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-0.5,0.86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-0.89,0.46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-1,0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-0.89,-0.46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-0.5, -0.86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0, -1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0,4.5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5.9,4.5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6,4.4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6,-4.4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5.9,-4.5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-5.9,-4.5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-6,-4.4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-6,4.4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-5.9,4.5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