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5"/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TODO list 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84"/>
        <w:numPr>
          <w:ilvl w:val="0"/>
          <w:numId w:val="2"/>
        </w:numPr>
        <w:pBdr/>
        <w:spacing/>
        <w:ind/>
        <w:rPr/>
      </w:pPr>
      <w:r>
        <w:t xml:space="preserve">[ÉMULATEUR] </w:t>
      </w:r>
      <w:r>
        <w:t xml:space="preserve">Terminer la gestion des flags,</w:t>
      </w:r>
      <w:r/>
    </w:p>
    <w:p>
      <w:pPr>
        <w:pStyle w:val="78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</w:r>
      <w:r>
        <w:t xml:space="preserve">[ÉMULATEUR] Ajouter la possibilité de swaper de palette.</w:t>
      </w:r>
      <w:r>
        <w:rPr>
          <w:highlight w:val="none"/>
        </w:rPr>
      </w:r>
      <w:r>
        <w:rPr>
          <w:highlight w:val="none"/>
        </w:rPr>
      </w:r>
    </w:p>
    <w:p>
      <w:pPr>
        <w:pStyle w:val="784"/>
        <w:numPr>
          <w:ilvl w:val="0"/>
          <w:numId w:val="1"/>
        </w:numPr>
        <w:pBdr/>
        <w:spacing w:after="0" w:before="0"/>
        <w:ind/>
        <w:contextualSpacing w:val="true"/>
        <w:rPr/>
      </w:pPr>
      <w:r>
        <w:t xml:space="preserve">[JEU] Dessiner des vaisseaux des adversaires.</w:t>
      </w:r>
      <w:r/>
    </w:p>
    <w:p>
      <w:pPr>
        <w:pStyle w:val="784"/>
        <w:numPr>
          <w:ilvl w:val="0"/>
          <w:numId w:val="1"/>
        </w:numPr>
        <w:pBdr/>
        <w:spacing w:after="0" w:before="0"/>
        <w:ind/>
        <w:contextualSpacing w:val="true"/>
        <w:rPr/>
      </w:pPr>
      <w:r>
        <w:t xml:space="preserve">[JEU] Dessiner un tilemap.</w:t>
      </w:r>
      <w:r/>
    </w:p>
    <w:p>
      <w:pPr>
        <w:pStyle w:val="784"/>
        <w:numPr>
          <w:ilvl w:val="0"/>
          <w:numId w:val="1"/>
        </w:numPr>
        <w:pBdr/>
        <w:spacing w:after="0" w:before="0"/>
        <w:ind/>
        <w:contextualSpacing w:val="true"/>
        <w:rPr/>
      </w:pPr>
      <w:r>
        <w:t xml:space="preserve">[JEU] Faire un système de maps avec DB.</w:t>
      </w:r>
      <w:r/>
    </w:p>
    <w:p>
      <w:pPr>
        <w:pStyle w:val="784"/>
        <w:numPr>
          <w:ilvl w:val="0"/>
          <w:numId w:val="1"/>
        </w:numPr>
        <w:pBdr/>
        <w:spacing w:after="200" w:before="0"/>
        <w:ind/>
        <w:contextualSpacing w:val="true"/>
        <w:rPr/>
      </w:pPr>
      <w:r>
        <w:t xml:space="preserve">[JEU] Quand le jeu sera terminé (1 ou 2 </w:t>
      </w:r>
      <w:r>
        <w:t xml:space="preserve">niveau</w:t>
      </w:r>
      <w:r>
        <w:t xml:space="preserve">x), mettre tout sur GitHub.</w:t>
      </w:r>
      <w:r/>
    </w:p>
    <w:p>
      <w:pPr>
        <w:pStyle w:val="715"/>
        <w:widowControl w:val="true"/>
        <w:pBdr/>
        <w:bidi w:val="false"/>
        <w:spacing w:after="200" w:afterAutospacing="0" w:before="0" w:beforeAutospacing="0" w:line="276" w:lineRule="auto"/>
        <w:ind/>
        <w:jc w:val="left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Noto Sans CJK SC">
    <w:panose1 w:val="020B0500000000000000"/>
  </w:font>
  <w:font w:name="Noto Sans Devanagari">
    <w:panose1 w:val="020B05020405040202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4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6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7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5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paragraph" w:styleId="716">
    <w:name w:val="Heading 1"/>
    <w:basedOn w:val="715"/>
    <w:next w:val="715"/>
    <w:link w:val="72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17">
    <w:name w:val="Heading 2"/>
    <w:basedOn w:val="715"/>
    <w:next w:val="715"/>
    <w:link w:val="72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18">
    <w:name w:val="Heading 3"/>
    <w:basedOn w:val="715"/>
    <w:next w:val="715"/>
    <w:link w:val="72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19">
    <w:name w:val="Heading 4"/>
    <w:basedOn w:val="715"/>
    <w:next w:val="715"/>
    <w:link w:val="72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20">
    <w:name w:val="Heading 5"/>
    <w:basedOn w:val="715"/>
    <w:next w:val="715"/>
    <w:link w:val="73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21">
    <w:name w:val="Heading 6"/>
    <w:basedOn w:val="715"/>
    <w:next w:val="715"/>
    <w:link w:val="7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22">
    <w:name w:val="Heading 7"/>
    <w:basedOn w:val="715"/>
    <w:next w:val="715"/>
    <w:link w:val="73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23">
    <w:name w:val="Heading 8"/>
    <w:basedOn w:val="715"/>
    <w:next w:val="715"/>
    <w:link w:val="733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24">
    <w:name w:val="Heading 9"/>
    <w:basedOn w:val="715"/>
    <w:next w:val="715"/>
    <w:link w:val="734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25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26">
    <w:name w:val="Heading 1 Char"/>
    <w:basedOn w:val="725"/>
    <w:link w:val="71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27">
    <w:name w:val="Heading 2 Char"/>
    <w:basedOn w:val="725"/>
    <w:link w:val="717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28">
    <w:name w:val="Heading 3 Char"/>
    <w:basedOn w:val="725"/>
    <w:link w:val="718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29">
    <w:name w:val="Heading 4 Char"/>
    <w:basedOn w:val="725"/>
    <w:link w:val="719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30">
    <w:name w:val="Heading 5 Char"/>
    <w:basedOn w:val="725"/>
    <w:link w:val="720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31">
    <w:name w:val="Heading 6 Char"/>
    <w:basedOn w:val="725"/>
    <w:link w:val="721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32">
    <w:name w:val="Heading 7 Char"/>
    <w:basedOn w:val="725"/>
    <w:link w:val="722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33">
    <w:name w:val="Heading 8 Char"/>
    <w:basedOn w:val="725"/>
    <w:link w:val="723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4">
    <w:name w:val="Heading 9 Char"/>
    <w:basedOn w:val="725"/>
    <w:link w:val="724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5">
    <w:name w:val="Title Char"/>
    <w:basedOn w:val="725"/>
    <w:link w:val="762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36">
    <w:name w:val="Subtitle Char"/>
    <w:basedOn w:val="725"/>
    <w:link w:val="763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37">
    <w:name w:val="Quote Char"/>
    <w:basedOn w:val="725"/>
    <w:link w:val="76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38">
    <w:name w:val="Intense Emphasis"/>
    <w:basedOn w:val="72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9">
    <w:name w:val="Intense Quote Char"/>
    <w:basedOn w:val="725"/>
    <w:link w:val="76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40">
    <w:name w:val="Intense Reference"/>
    <w:basedOn w:val="72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41">
    <w:name w:val="Subtle Emphasis"/>
    <w:basedOn w:val="72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42">
    <w:name w:val="Emphasis"/>
    <w:basedOn w:val="725"/>
    <w:uiPriority w:val="20"/>
    <w:qFormat/>
    <w:pPr>
      <w:pBdr/>
      <w:spacing/>
      <w:ind/>
    </w:pPr>
    <w:rPr>
      <w:i/>
      <w:iCs/>
    </w:rPr>
  </w:style>
  <w:style w:type="character" w:styleId="743">
    <w:name w:val="Strong"/>
    <w:basedOn w:val="725"/>
    <w:uiPriority w:val="22"/>
    <w:qFormat/>
    <w:pPr>
      <w:pBdr/>
      <w:spacing/>
      <w:ind/>
    </w:pPr>
    <w:rPr>
      <w:b/>
      <w:bCs/>
    </w:rPr>
  </w:style>
  <w:style w:type="character" w:styleId="744">
    <w:name w:val="Subtle Reference"/>
    <w:basedOn w:val="72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5">
    <w:name w:val="Book Title"/>
    <w:basedOn w:val="72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46">
    <w:name w:val="Header Char"/>
    <w:basedOn w:val="725"/>
    <w:link w:val="767"/>
    <w:uiPriority w:val="99"/>
    <w:qFormat/>
    <w:pPr>
      <w:pBdr/>
      <w:spacing/>
      <w:ind/>
    </w:pPr>
  </w:style>
  <w:style w:type="character" w:styleId="747">
    <w:name w:val="Footer Char"/>
    <w:basedOn w:val="725"/>
    <w:link w:val="768"/>
    <w:uiPriority w:val="99"/>
    <w:qFormat/>
    <w:pPr>
      <w:pBdr/>
      <w:spacing/>
      <w:ind/>
    </w:pPr>
  </w:style>
  <w:style w:type="character" w:styleId="748">
    <w:name w:val="Footnote Text Char"/>
    <w:basedOn w:val="725"/>
    <w:link w:val="769"/>
    <w:uiPriority w:val="99"/>
    <w:semiHidden/>
    <w:qFormat/>
    <w:pPr>
      <w:pBdr/>
      <w:spacing/>
      <w:ind/>
    </w:pPr>
    <w:rPr>
      <w:sz w:val="20"/>
      <w:szCs w:val="20"/>
    </w:rPr>
  </w:style>
  <w:style w:type="character" w:styleId="749">
    <w:name w:val="Footnote Characters"/>
    <w:basedOn w:val="725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0">
    <w:name w:val="footnote reference"/>
    <w:pPr>
      <w:pBdr/>
      <w:spacing/>
      <w:ind/>
    </w:pPr>
    <w:rPr>
      <w:vertAlign w:val="superscript"/>
    </w:rPr>
  </w:style>
  <w:style w:type="character" w:styleId="751">
    <w:name w:val="Endnote Text Char"/>
    <w:basedOn w:val="725"/>
    <w:link w:val="770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2">
    <w:name w:val="Endnote Characters"/>
    <w:basedOn w:val="725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3">
    <w:name w:val="endnote reference"/>
    <w:pPr>
      <w:pBdr/>
      <w:spacing/>
      <w:ind/>
    </w:pPr>
    <w:rPr>
      <w:vertAlign w:val="superscript"/>
    </w:rPr>
  </w:style>
  <w:style w:type="character" w:styleId="754">
    <w:name w:val="Hyperlink"/>
    <w:basedOn w:val="72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55">
    <w:name w:val="FollowedHyperlink"/>
    <w:basedOn w:val="7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56">
    <w:name w:val="Placeholder Text"/>
    <w:basedOn w:val="725"/>
    <w:uiPriority w:val="99"/>
    <w:semiHidden/>
    <w:qFormat/>
    <w:pPr>
      <w:pBdr/>
      <w:spacing/>
      <w:ind/>
    </w:pPr>
    <w:rPr>
      <w:color w:val="666666"/>
    </w:rPr>
  </w:style>
  <w:style w:type="paragraph" w:styleId="757">
    <w:name w:val="Heading"/>
    <w:basedOn w:val="715"/>
    <w:next w:val="75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58">
    <w:name w:val="Body Text"/>
    <w:basedOn w:val="715"/>
    <w:pPr>
      <w:pBdr/>
      <w:spacing w:after="140" w:before="0" w:line="276" w:lineRule="auto"/>
      <w:ind/>
    </w:pPr>
  </w:style>
  <w:style w:type="paragraph" w:styleId="759">
    <w:name w:val="List"/>
    <w:basedOn w:val="758"/>
    <w:pPr>
      <w:pBdr/>
      <w:spacing/>
      <w:ind/>
    </w:pPr>
    <w:rPr>
      <w:rFonts w:cs="Noto Sans Devanagari"/>
    </w:rPr>
  </w:style>
  <w:style w:type="paragraph" w:styleId="760">
    <w:name w:val="Caption"/>
    <w:basedOn w:val="715"/>
    <w:next w:val="715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61">
    <w:name w:val="Index"/>
    <w:basedOn w:val="715"/>
    <w:qFormat/>
    <w:pPr>
      <w:suppressLineNumbers w:val="true"/>
      <w:pBdr/>
      <w:spacing/>
      <w:ind/>
    </w:pPr>
    <w:rPr>
      <w:rFonts w:cs="Noto Sans Devanagari"/>
    </w:rPr>
  </w:style>
  <w:style w:type="paragraph" w:styleId="762">
    <w:name w:val="Title"/>
    <w:basedOn w:val="715"/>
    <w:next w:val="715"/>
    <w:link w:val="735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63">
    <w:name w:val="Subtitle"/>
    <w:basedOn w:val="715"/>
    <w:next w:val="715"/>
    <w:link w:val="73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64">
    <w:name w:val="Quote"/>
    <w:basedOn w:val="715"/>
    <w:next w:val="715"/>
    <w:link w:val="737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65">
    <w:name w:val="Intense Quote"/>
    <w:basedOn w:val="715"/>
    <w:next w:val="715"/>
    <w:link w:val="73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66">
    <w:name w:val="Header and Footer"/>
    <w:basedOn w:val="715"/>
    <w:qFormat/>
    <w:pPr>
      <w:pBdr/>
      <w:spacing/>
      <w:ind/>
    </w:pPr>
  </w:style>
  <w:style w:type="paragraph" w:styleId="767">
    <w:name w:val="Header"/>
    <w:basedOn w:val="715"/>
    <w:link w:val="746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68">
    <w:name w:val="Footer"/>
    <w:basedOn w:val="715"/>
    <w:link w:val="747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69">
    <w:name w:val="footnote text"/>
    <w:basedOn w:val="715"/>
    <w:link w:val="748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70">
    <w:name w:val="endnote text"/>
    <w:basedOn w:val="715"/>
    <w:link w:val="751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71">
    <w:name w:val="toc 1"/>
    <w:basedOn w:val="715"/>
    <w:next w:val="715"/>
    <w:uiPriority w:val="39"/>
    <w:unhideWhenUsed/>
    <w:pPr>
      <w:pBdr/>
      <w:spacing w:after="100" w:before="0"/>
      <w:ind/>
    </w:pPr>
  </w:style>
  <w:style w:type="paragraph" w:styleId="772">
    <w:name w:val="toc 2"/>
    <w:basedOn w:val="715"/>
    <w:next w:val="715"/>
    <w:uiPriority w:val="39"/>
    <w:unhideWhenUsed/>
    <w:pPr>
      <w:pBdr/>
      <w:spacing w:after="100" w:before="0"/>
      <w:ind w:left="220"/>
    </w:pPr>
  </w:style>
  <w:style w:type="paragraph" w:styleId="773">
    <w:name w:val="toc 3"/>
    <w:basedOn w:val="715"/>
    <w:next w:val="715"/>
    <w:uiPriority w:val="39"/>
    <w:unhideWhenUsed/>
    <w:pPr>
      <w:pBdr/>
      <w:spacing w:after="100" w:before="0"/>
      <w:ind w:left="440"/>
    </w:pPr>
  </w:style>
  <w:style w:type="paragraph" w:styleId="774">
    <w:name w:val="toc 4"/>
    <w:basedOn w:val="715"/>
    <w:next w:val="715"/>
    <w:uiPriority w:val="39"/>
    <w:unhideWhenUsed/>
    <w:pPr>
      <w:pBdr/>
      <w:spacing w:after="100" w:before="0"/>
      <w:ind w:left="660"/>
    </w:pPr>
  </w:style>
  <w:style w:type="paragraph" w:styleId="775">
    <w:name w:val="toc 5"/>
    <w:basedOn w:val="715"/>
    <w:next w:val="715"/>
    <w:uiPriority w:val="39"/>
    <w:unhideWhenUsed/>
    <w:pPr>
      <w:pBdr/>
      <w:spacing w:after="100" w:before="0"/>
      <w:ind w:left="880"/>
    </w:pPr>
  </w:style>
  <w:style w:type="paragraph" w:styleId="776">
    <w:name w:val="toc 6"/>
    <w:basedOn w:val="715"/>
    <w:next w:val="715"/>
    <w:uiPriority w:val="39"/>
    <w:unhideWhenUsed/>
    <w:pPr>
      <w:pBdr/>
      <w:spacing w:after="100" w:before="0"/>
      <w:ind w:left="1100"/>
    </w:pPr>
  </w:style>
  <w:style w:type="paragraph" w:styleId="777">
    <w:name w:val="toc 7"/>
    <w:basedOn w:val="715"/>
    <w:next w:val="715"/>
    <w:uiPriority w:val="39"/>
    <w:unhideWhenUsed/>
    <w:pPr>
      <w:pBdr/>
      <w:spacing w:after="100" w:before="0"/>
      <w:ind w:left="1320"/>
    </w:pPr>
  </w:style>
  <w:style w:type="paragraph" w:styleId="778">
    <w:name w:val="toc 8"/>
    <w:basedOn w:val="715"/>
    <w:next w:val="715"/>
    <w:uiPriority w:val="39"/>
    <w:unhideWhenUsed/>
    <w:pPr>
      <w:pBdr/>
      <w:spacing w:after="100" w:before="0"/>
      <w:ind w:left="1540"/>
    </w:pPr>
  </w:style>
  <w:style w:type="paragraph" w:styleId="779">
    <w:name w:val="toc 9"/>
    <w:basedOn w:val="715"/>
    <w:next w:val="715"/>
    <w:uiPriority w:val="39"/>
    <w:unhideWhenUsed/>
    <w:pPr>
      <w:pBdr/>
      <w:spacing w:after="100" w:before="0"/>
      <w:ind w:left="1760"/>
    </w:pPr>
  </w:style>
  <w:style w:type="paragraph" w:styleId="780">
    <w:name w:val="Index Heading"/>
    <w:basedOn w:val="757"/>
    <w:pPr>
      <w:pBdr/>
      <w:spacing/>
      <w:ind/>
    </w:pPr>
  </w:style>
  <w:style w:type="paragraph" w:styleId="781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paragraph" w:styleId="782">
    <w:name w:val="table of figures"/>
    <w:basedOn w:val="715"/>
    <w:next w:val="715"/>
    <w:uiPriority w:val="99"/>
    <w:unhideWhenUsed/>
    <w:pPr>
      <w:pBdr/>
      <w:spacing w:after="0" w:afterAutospacing="0" w:before="0"/>
      <w:ind/>
    </w:pPr>
  </w:style>
  <w:style w:type="paragraph" w:styleId="783">
    <w:name w:val="No Spacing"/>
    <w:basedOn w:val="715"/>
    <w:uiPriority w:val="1"/>
    <w:qFormat/>
    <w:pPr>
      <w:pBdr/>
      <w:spacing w:after="0" w:before="0" w:line="240" w:lineRule="auto"/>
      <w:ind/>
    </w:pPr>
  </w:style>
  <w:style w:type="paragraph" w:styleId="784">
    <w:name w:val="List Paragraph"/>
    <w:basedOn w:val="715"/>
    <w:uiPriority w:val="34"/>
    <w:qFormat/>
    <w:pPr>
      <w:pBdr/>
      <w:spacing w:after="200" w:before="0"/>
      <w:ind w:left="720"/>
      <w:contextualSpacing w:val="true"/>
    </w:pPr>
  </w:style>
  <w:style w:type="numbering" w:styleId="785" w:default="1">
    <w:name w:val="No List"/>
    <w:uiPriority w:val="99"/>
    <w:semiHidden/>
    <w:unhideWhenUsed/>
    <w:qFormat/>
    <w:pPr>
      <w:pBdr/>
      <w:spacing/>
      <w:ind/>
    </w:pPr>
  </w:style>
  <w:style w:type="table" w:styleId="786">
    <w:name w:val="Table Grid"/>
    <w:basedOn w:val="912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Table Grid Light"/>
    <w:basedOn w:val="912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1"/>
    <w:basedOn w:val="912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2"/>
    <w:basedOn w:val="912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1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2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3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5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6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default="1">
    <w:name w:val="Normal Table"/>
    <w:uiPriority w:val="99"/>
    <w:semiHidden/>
    <w:unhideWhenUsed/>
    <w:pPr>
      <w:pBdr/>
      <w:spacing/>
      <w:ind/>
    </w:pPr>
    <w:tblPr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9</cp:revision>
  <dcterms:modified xsi:type="dcterms:W3CDTF">2025-09-30T12:38:00Z</dcterms:modified>
</cp:coreProperties>
</file>